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FA76F2" w:rsidRDefault="00FA76F2" w:rsidP="003615DB">
      <w:pPr>
        <w:pStyle w:val="Kop4"/>
      </w:pPr>
      <w:bookmarkStart w:id="379" w:name="_Ref_a4146983dd8e3a2141d9572552655aba_1"/>
      <w:r>
        <w:t>Annotatie</w:t>
      </w:r>
      <w:bookmarkEnd w:id="379"/>
    </w:p>
    <w:p w14:paraId="3A66567F" w14:textId="01D45E90" w:rsidR="00FA76F2" w:rsidRDefault="00FA76F2" w:rsidP="00FA76F2">
      <w:r>
        <w:t xml:space="preserve">De STOP/TPOD-standaarden maken het voor bevoegde gezagen mogelijk om zich te beperken tot het verbinden van Juridische regels of </w:t>
      </w:r>
      <w:r w:rsidR="00E21745">
        <w:t>Tekstdelen</w:t>
      </w:r>
      <w:r>
        <w:t xml:space="preserve"> met Locaties. Een computer weet dan dat beide bij elkaar horen maar kan geen verdere betekenis aan die relatie geven en kan de Locaties ook niet </w:t>
      </w:r>
      <w:r w:rsidR="0088411C">
        <w:t xml:space="preserve">op een </w:t>
      </w:r>
      <w:r>
        <w:t xml:space="preserve">voor </w:t>
      </w:r>
      <w:r w:rsidR="0088411C">
        <w:t xml:space="preserve">de </w:t>
      </w:r>
      <w:r>
        <w:t>mens betekenisvol</w:t>
      </w:r>
      <w:r w:rsidR="0088411C">
        <w:t>le manier</w:t>
      </w:r>
      <w:r>
        <w:t xml:space="preserve"> op een kaart weergeven.</w:t>
      </w:r>
    </w:p>
    <w:p w14:paraId="1777A1B0" w14:textId="2C10628C" w:rsidR="00FA76F2" w:rsidRPr="00FA76F2" w:rsidRDefault="00FA76F2" w:rsidP="00FA76F2">
      <w:r>
        <w:t xml:space="preserve">Dat kan wel met het in paragraaf </w:t>
      </w:r>
      <w:r w:rsidR="00010094" w:rsidRPr="002B3669">
        <w:rPr>
          <w:rStyle w:val="Verwijzing"/>
        </w:rPr>
        <w:fldChar w:fldCharType="begin"/>
      </w:r>
      <w:r w:rsidR="00010094" w:rsidRPr="002B3669">
        <w:rPr>
          <w:rStyle w:val="Verwijzing"/>
        </w:rPr>
        <w:instrText xml:space="preserve"> REF _Ref_c5eb11e198bb8a2b4d9f28b819188845_1 </w:instrText>
      </w:r>
      <w:r w:rsidR="00936B1B" w:rsidRPr="002B3669">
        <w:rPr>
          <w:rStyle w:val="Verwijzing"/>
        </w:rPr>
        <w:instrText>\n \h</w:instrText>
      </w:r>
      <w:r w:rsidR="00010094" w:rsidRPr="002B3669">
        <w:rPr>
          <w:rStyle w:val="Verwijzing"/>
        </w:rPr>
        <w:instrText xml:space="preserve"> </w:instrText>
      </w:r>
      <w:r w:rsidR="00010094" w:rsidRPr="002B3669">
        <w:rPr>
          <w:rStyle w:val="Verwijzing"/>
        </w:rPr>
      </w:r>
      <w:r w:rsidR="00010094" w:rsidRPr="002B3669">
        <w:rPr>
          <w:rStyle w:val="Verwijzing"/>
        </w:rPr>
        <w:fldChar w:fldCharType="separate"/>
      </w:r>
      <w:r w:rsidR="00176B7A" w:rsidRPr="002B3669">
        <w:rPr>
          <w:rStyle w:val="Verwijzing"/>
        </w:rPr>
        <w:t>3.4</w:t>
      </w:r>
      <w:r w:rsidR="00010094" w:rsidRPr="002B3669">
        <w:rPr>
          <w:rStyle w:val="Verwijzing"/>
        </w:rPr>
        <w:fldChar w:fldCharType="end"/>
      </w:r>
      <w:r>
        <w:t xml:space="preserve"> al kort beschreven mechanisme annoteren: het toevoegen van gegevens aan besluiten en regelingen of onderdelen daarvan die de besluiten en regelingen machineleesbaar maken. Annoteren zorgt er voor dat het besluit of de regeling gestructureerd bevraagbaar is en dat </w:t>
      </w:r>
      <w:r w:rsidR="000B3C04">
        <w:t>L</w:t>
      </w:r>
      <w:r>
        <w:t>ocaties en andere gegevens op een kaart weergegeven worden. Het annoteren kan ook helpen bij het verbinden van toepasbare regels, oftewel vragenbomen, aan regels en Locaties. In de volgende paragrafen wordt het annoteren van omgevingsdocumenten met IMOW-objecten toegelicht. Daarnaast gelden specificaties vanuit STOP. Die worden in de STOP-documentatie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