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505873" w:rsidRDefault="00762E8A" w:rsidP="00712703">
      <w:pPr>
        <w:pStyle w:val="Kop5"/>
      </w:pPr>
      <w:r>
        <w:t>Doel</w:t>
      </w:r>
    </w:p>
    <w:p w14:paraId="780473D3" w14:textId="29C7F2B0" w:rsidR="00793E8C" w:rsidRPr="006A4720" w:rsidRDefault="003C660C" w:rsidP="0097770E">
      <w:r>
        <w:t>Doel van het objecttype</w:t>
      </w:r>
      <w:r w:rsidR="00793E8C">
        <w:t xml:space="preserve"> Regeltekst</w:t>
      </w:r>
      <w:r w:rsidR="003C5916">
        <w:t xml:space="preserve"> is</w:t>
      </w:r>
      <w:r w:rsidR="0097770E">
        <w:t xml:space="preserve"> </w:t>
      </w:r>
      <w:r w:rsidR="00512131" w:rsidRPr="00512131">
        <w:t>het leggen van de verbinding tussen de Juridische regel uit het O</w:t>
      </w:r>
      <w:r w:rsidR="00A87F92">
        <w:t>mgevingswet</w:t>
      </w:r>
      <w:r w:rsidR="00512131"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