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832FDD" w:rsidRDefault="00832FDD" w:rsidP="00832FDD">
      <w:pPr>
        <w:pStyle w:val="Kop5"/>
      </w:pPr>
      <w:r w:rsidRPr="00832FDD">
        <w:t>Definitie</w:t>
      </w:r>
    </w:p>
    <w:p w14:paraId="5036B3F6" w14:textId="066C3369" w:rsidR="00181423" w:rsidRDefault="00D6211F" w:rsidP="00832FDD">
      <w:r w:rsidRPr="00D6211F">
        <w:t>O</w:t>
      </w:r>
      <w:r>
        <w:t xml:space="preserve">mgevingswaarde is </w:t>
      </w:r>
      <w:r w:rsidR="003C660C">
        <w:t xml:space="preserve">het objecttype voor omgevingsdocumenten </w:t>
      </w:r>
      <w:r w:rsidR="00D25AE3"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</w:t>
      </w:r>
      <w:r w:rsidR="00C532CC">
        <w:t xml:space="preserve">: </w:t>
      </w:r>
      <w:r w:rsidR="00C532CC"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