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DE" w14:textId="5C358C9A" w:rsidR="00C34A7B" w:rsidRPr="00F62F31" w:rsidRDefault="00590129" w:rsidP="00C34A7B">
      <w:pPr>
        <w:pStyle w:val="Kop2"/>
      </w:pPr>
      <w:bookmarkStart w:id="12" w:name="_Ref_6a8401dc4f8da8deeff859a796c6846a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987731">
        <w:t>de omgevingsverordening</w:t>
      </w:r>
      <w:r w:rsidRPr="00F62F31">
        <w:fldChar w:fldCharType="end"/>
      </w:r>
      <w:bookmarkEnd w:id="12"/>
    </w:p>
    <w:p w14:paraId="02423A73" w14:textId="141120F4" w:rsidR="00C34A7B" w:rsidRPr="00F62F31" w:rsidRDefault="00590129" w:rsidP="00C34A7B">
      <w:r w:rsidRPr="00F62F31">
        <w:t xml:space="preserve">Dit hoofdstuk beschrijft </w:t>
      </w:r>
      <w:r>
        <w:t xml:space="preserve">het instrument </w:t>
      </w:r>
      <w:fldSimple w:instr=" DOCVARIABLE ID01 ">
        <w:r w:rsidR="00987731">
          <w:t>omgevingsverordening</w:t>
        </w:r>
      </w:fldSimple>
      <w:r w:rsidRPr="00F62F31">
        <w:t xml:space="preserve"> en heeft als doel de functionele elementen in het toepassingsprofiel te kunnen identificeren.</w:t>
      </w:r>
    </w:p>
    <w:p w14:paraId="291320AD" w14:textId="6A9571F9" w:rsidR="00C34A7B" w:rsidRPr="00F62F31" w:rsidRDefault="00C34A7B" w:rsidP="00C34A7B"/>
    <w:p w14:paraId="5DD9438B" w14:textId="46ECB912" w:rsidR="00C34A7B" w:rsidRPr="00F62F31" w:rsidRDefault="00590129" w:rsidP="00C34A7B">
      <w:r w:rsidRPr="00F62F31">
        <w:t xml:space="preserve">Paragraaf </w:t>
      </w:r>
      <w:r w:rsidR="00B3741C" w:rsidRPr="00AB1800">
        <w:rPr>
          <w:rStyle w:val="Verwijzing"/>
        </w:rPr>
        <w:fldChar w:fldCharType="begin"/>
      </w:r>
      <w:r w:rsidR="00B3741C" w:rsidRPr="00AB1800">
        <w:rPr>
          <w:rStyle w:val="Verwijzing"/>
        </w:rPr>
        <w:instrText xml:space="preserve"> REF _Ref_83ff3cd32af05478bccb8778432789e5_1 \n \h </w:instrText>
      </w:r>
      <w:r w:rsidR="00B3741C" w:rsidRPr="00AB1800">
        <w:rPr>
          <w:rStyle w:val="Verwijzing"/>
        </w:rPr>
      </w:r>
      <w:r w:rsidR="00B3741C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2.1</w:t>
      </w:r>
      <w:r w:rsidR="00B3741C" w:rsidRPr="00AB1800">
        <w:rPr>
          <w:rStyle w:val="Verwijzing"/>
        </w:rPr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73011C43" w14:textId="79FD6842" w:rsidR="00C34A7B" w:rsidRPr="00F62F31" w:rsidRDefault="00590129" w:rsidP="00C34A7B">
      <w:r w:rsidRPr="00F62F31">
        <w:t xml:space="preserve">In paragraaf </w:t>
      </w:r>
      <w:r w:rsidR="00B3741C" w:rsidRPr="00AB1800">
        <w:rPr>
          <w:rStyle w:val="Verwijzing"/>
        </w:rPr>
        <w:fldChar w:fldCharType="begin"/>
      </w:r>
      <w:r w:rsidR="00B3741C" w:rsidRPr="00AB1800">
        <w:rPr>
          <w:rStyle w:val="Verwijzing"/>
        </w:rPr>
        <w:instrText xml:space="preserve"> REF _Ref_62995003ec84fa5f2713fd4b03691aff_1 \n \h </w:instrText>
      </w:r>
      <w:r w:rsidR="00B3741C" w:rsidRPr="00AB1800">
        <w:rPr>
          <w:rStyle w:val="Verwijzing"/>
        </w:rPr>
      </w:r>
      <w:r w:rsidR="00B3741C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2.2</w:t>
      </w:r>
      <w:r w:rsidR="00B3741C" w:rsidRPr="00AB1800">
        <w:rPr>
          <w:rStyle w:val="Verwijzing"/>
        </w:rPr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>, maar beschrijven geen domeinspecifieke zaken.</w:t>
      </w:r>
    </w:p>
    <w:p w14:paraId="2E73452C" w14:textId="427CF5C1" w:rsidR="00C34A7B" w:rsidRDefault="00590129" w:rsidP="00C34A7B">
      <w:r w:rsidRPr="00F62F31">
        <w:t xml:space="preserve">Paragraaf </w:t>
      </w:r>
      <w:r w:rsidR="007A37C9" w:rsidRPr="00AB1800">
        <w:rPr>
          <w:rStyle w:val="Verwijzing"/>
        </w:rPr>
        <w:fldChar w:fldCharType="begin"/>
      </w:r>
      <w:r w:rsidR="007A37C9" w:rsidRPr="00AB1800">
        <w:rPr>
          <w:rStyle w:val="Verwijzing"/>
        </w:rPr>
        <w:instrText xml:space="preserve"> REF _Ref_97e3b8bacf8612e77c8fe117dfeef0d4_1 </w:instrText>
      </w:r>
      <w:r w:rsidR="00306D24" w:rsidRPr="00AB1800">
        <w:rPr>
          <w:rStyle w:val="Verwijzing"/>
        </w:rPr>
        <w:instrText>\n \h</w:instrText>
      </w:r>
      <w:r w:rsidR="007A37C9" w:rsidRPr="00AB1800">
        <w:rPr>
          <w:rStyle w:val="Verwijzing"/>
        </w:rPr>
        <w:instrText xml:space="preserve"> </w:instrText>
      </w:r>
      <w:r w:rsidR="007A37C9" w:rsidRPr="00AB1800">
        <w:rPr>
          <w:rStyle w:val="Verwijzing"/>
        </w:rPr>
      </w:r>
      <w:r w:rsidR="007A37C9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2.3</w:t>
      </w:r>
      <w:r w:rsidR="007A37C9" w:rsidRPr="00AB1800">
        <w:rPr>
          <w:rStyle w:val="Verwijzing"/>
        </w:rPr>
        <w:fldChar w:fldCharType="end"/>
      </w:r>
      <w:r w:rsidRPr="00F62F31">
        <w:t xml:space="preserve"> beschrijft domeinspecifieke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. Dit zijn niet alleen inhoudelijke kenmerken </w:t>
      </w:r>
      <w:r>
        <w:t>van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zelf. Waar relevant zijn ook kenmerken beschreven die aangeven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zich verhoudt tot zaken in breder verband, bijvoorbeeld ten opzichte van andere instrumenten.</w:t>
      </w:r>
      <w:r w:rsidR="006D0379">
        <w:t xml:space="preserve"> In paragraaf </w:t>
      </w:r>
      <w:r w:rsidR="006D0379" w:rsidRPr="00AB1800">
        <w:rPr>
          <w:rStyle w:val="Verwijzing"/>
        </w:rPr>
        <w:fldChar w:fldCharType="begin"/>
      </w:r>
      <w:r w:rsidR="006D0379" w:rsidRPr="00AB1800">
        <w:rPr>
          <w:rStyle w:val="Verwijzing"/>
        </w:rPr>
        <w:instrText xml:space="preserve"> REF _Ref_61773b085ed226e6b924d8e1a763b61d_1 </w:instrText>
      </w:r>
      <w:r w:rsidR="00306D24" w:rsidRPr="00AB1800">
        <w:rPr>
          <w:rStyle w:val="Verwijzing"/>
        </w:rPr>
        <w:instrText>\n \h</w:instrText>
      </w:r>
      <w:r w:rsidR="006D0379" w:rsidRPr="00AB1800">
        <w:rPr>
          <w:rStyle w:val="Verwijzing"/>
        </w:rPr>
        <w:instrText xml:space="preserve"> </w:instrText>
      </w:r>
      <w:r w:rsidR="006D0379" w:rsidRPr="00AB1800">
        <w:rPr>
          <w:rStyle w:val="Verwijzing"/>
        </w:rPr>
      </w:r>
      <w:r w:rsidR="006D0379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2.4</w:t>
      </w:r>
      <w:r w:rsidR="006D0379" w:rsidRPr="00AB1800">
        <w:rPr>
          <w:rStyle w:val="Verwijzing"/>
        </w:rPr>
        <w:fldChar w:fldCharType="end"/>
      </w:r>
      <w:r w:rsidR="006D0379">
        <w:t xml:space="preserve"> wordt aandacht besteed aan het andere omgevingsdocument dat de omgevingsverordening kan wijzigen, namelijk het voorbereidingsbesluit, en het meervoudig bronhouderschap. In paragraaf </w:t>
      </w:r>
      <w:r w:rsidR="006D0379" w:rsidRPr="00AB1800">
        <w:rPr>
          <w:rStyle w:val="Verwijzing"/>
        </w:rPr>
        <w:fldChar w:fldCharType="begin"/>
      </w:r>
      <w:r w:rsidR="006D0379" w:rsidRPr="00AB1800">
        <w:rPr>
          <w:rStyle w:val="Verwijzing"/>
        </w:rPr>
        <w:instrText xml:space="preserve"> REF _Ref_1a77a8353f833ea76b3c803b6716d223_1 </w:instrText>
      </w:r>
      <w:r w:rsidR="00306D24" w:rsidRPr="00AB1800">
        <w:rPr>
          <w:rStyle w:val="Verwijzing"/>
        </w:rPr>
        <w:instrText>\n \h</w:instrText>
      </w:r>
      <w:r w:rsidR="006D0379" w:rsidRPr="00AB1800">
        <w:rPr>
          <w:rStyle w:val="Verwijzing"/>
        </w:rPr>
        <w:instrText xml:space="preserve"> </w:instrText>
      </w:r>
      <w:r w:rsidR="006D0379" w:rsidRPr="00AB1800">
        <w:rPr>
          <w:rStyle w:val="Verwijzing"/>
        </w:rPr>
      </w:r>
      <w:r w:rsidR="006D0379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2.5</w:t>
      </w:r>
      <w:r w:rsidR="006D0379" w:rsidRPr="00AB1800">
        <w:rPr>
          <w:rStyle w:val="Verwijzing"/>
        </w:rPr>
        <w:fldChar w:fldCharType="end"/>
      </w:r>
      <w:r w:rsidR="006D0379">
        <w:t xml:space="preserve"> tenslotte worden overgangsfase en overgangsrecht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