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0DA5" w14:textId="739D3131" w:rsidR="00944C27" w:rsidRPr="005D0FAA" w:rsidRDefault="00944C27" w:rsidP="009A1B7B">
      <w:pPr>
        <w:pStyle w:val="Kop3"/>
      </w:pPr>
      <w:bookmarkStart w:id="26" w:name="_Ref_1a77a8353f833ea76b3c803b6716d223_1"/>
      <w:r w:rsidRPr="005D0FAA">
        <w:t>Overgangsfase</w:t>
      </w:r>
      <w:r w:rsidR="006D0379">
        <w:t xml:space="preserve"> en overgangsrecht.</w:t>
      </w:r>
      <w:bookmarkEnd w:id="26"/>
    </w:p>
    <w:p w14:paraId="39244EBB" w14:textId="1108ED37" w:rsidR="00944C27" w:rsidRPr="005D0FAA" w:rsidRDefault="00944C27" w:rsidP="00944C27">
      <w:pPr>
        <w:rPr>
          <w:bCs/>
        </w:rPr>
      </w:pPr>
      <w:r w:rsidRPr="005D0FAA">
        <w:rPr>
          <w:bCs/>
        </w:rPr>
        <w:t>Er is niet voorzien in overgangsrecht voor</w:t>
      </w:r>
      <w:r w:rsidRPr="008A1E38">
        <w:rPr>
          <w:bCs/>
        </w:rPr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987731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rPr>
          <w:bCs/>
        </w:rPr>
        <w:t>. Streven is dat de provincies hun omgevingsverordeningen op het moment van inwerkingtreding van de Omgevingswet hebben vastgesteld en bekendgemaakt.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