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C34A7B" w:rsidRPr="00F62F31" w:rsidRDefault="00590129" w:rsidP="00C34A7B">
      <w:pPr>
        <w:pStyle w:val="Kop4"/>
      </w:pPr>
      <w:r w:rsidRPr="00F62F31">
        <w:t>Norm</w:t>
      </w:r>
    </w:p>
    <w:p w14:paraId="39DE82B2" w14:textId="336B59E1" w:rsidR="00C34A7B" w:rsidRDefault="00DF762F" w:rsidP="00C34A7B">
      <w:fldSimple w:instr=" DOCVARIABLE ID01+_CAPS ">
        <w:r w:rsidR="00987731">
          <w:t>De omgevingsverordening</w:t>
        </w:r>
      </w:fldSimple>
      <w:r w:rsidR="00590129">
        <w:t xml:space="preserve"> </w:t>
      </w:r>
      <w:r w:rsidR="00590129" w:rsidRPr="00F62F31">
        <w:t xml:space="preserve">kent in ieder geval </w:t>
      </w:r>
      <w:r w:rsidR="00590129">
        <w:t>de volgende onderdelen:</w:t>
      </w:r>
    </w:p>
    <w:p w14:paraId="3D62D88F" w14:textId="1B71EB30" w:rsidR="00C34A7B" w:rsidRDefault="00590129" w:rsidP="00C34A7B">
      <w:pPr>
        <w:pStyle w:val="Opsommingtekens1"/>
      </w:pPr>
      <w:r w:rsidRPr="006C4925">
        <w:t>een hoofdstuk 1 Algemene bepalingen</w:t>
      </w:r>
      <w:r>
        <w:rPr>
          <w:rStyle w:val="Eindnootmarkering"/>
        </w:rPr>
        <w:endnoteReference w:id="11"/>
      </w:r>
      <w:r w:rsidRPr="00897717">
        <w:t>, met in dat hoofdstuk in ieder geval een artikel Begripsbepalingen en een artikel Meet- en rekenbepalingen;</w:t>
      </w:r>
    </w:p>
    <w:p w14:paraId="0B8960EF" w14:textId="77777777" w:rsidR="00C34A7B" w:rsidRPr="006C4925" w:rsidRDefault="00590129" w:rsidP="00C34A7B">
      <w:pPr>
        <w:pStyle w:val="Opsommingtekens1"/>
      </w:pPr>
      <w:r w:rsidRPr="006C4925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