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C34A7B" w:rsidRDefault="00590129" w:rsidP="00C34A7B">
      <w:pPr>
        <w:pStyle w:val="Kop3"/>
      </w:pPr>
      <w:bookmarkStart w:id="115" w:name="_Ref_de726ed589d1382e5add49dfbd4b84cb_1"/>
      <w:bookmarkStart w:id="116" w:name="_Ref_de726ed589d1382e5add49dfbd4b84cb_2"/>
      <w:r>
        <w:t>D</w:t>
      </w:r>
      <w:r w:rsidRPr="003667F3">
        <w:t>e drie hoofdcomponenten van IMOW: tekst, locatie en annotatie</w:t>
      </w:r>
      <w:bookmarkEnd w:id="115"/>
      <w:bookmarkEnd w:id="116"/>
    </w:p>
    <w:p w14:paraId="726CF6DE" w14:textId="6BF47A47" w:rsidR="00C34A7B" w:rsidRDefault="00590129" w:rsidP="00C34A7B">
      <w:pPr>
        <w:pStyle w:val="Figuur"/>
      </w:pPr>
      <w:r>
        <w:rPr>
          <w:noProof/>
        </w:rPr>
        <w:drawing>
          <wp:inline distT="0" distB="0" distL="0" distR="0" wp14:anchorId="1D03D6FA" wp14:editId="6FB91D16">
            <wp:extent cx="4349750" cy="1904806"/>
            <wp:effectExtent l="0" t="0" r="0" b="635"/>
            <wp:docPr id="1987060758"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3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34A7B" w:rsidRPr="00CD1890" w:rsidRDefault="00590129" w:rsidP="00C34A7B">
      <w:pPr>
        <w:pStyle w:val="Figuurbijschrift"/>
      </w:pPr>
      <w:r>
        <w:t>De hoofdcomponenten van IMOW</w:t>
      </w:r>
    </w:p>
    <w:p w14:paraId="59478EB2" w14:textId="7FE7EEF6" w:rsidR="00C34A7B" w:rsidRDefault="00590129" w:rsidP="00C34A7B">
      <w:r>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betekenisvol in een viewer weergegeven kunnen worden en waardoor onderdelen geselecteerd en bevraagd kunnen worden. Het vervolg van deze paragraaf beschrijft deze drie componenten in grote lijnen. In paragraaf </w:t>
      </w:r>
      <w:r w:rsidRPr="00AB1800">
        <w:rPr>
          <w:rStyle w:val="Verwijzing"/>
        </w:rPr>
        <w:fldChar w:fldCharType="begin"/>
      </w:r>
      <w:r w:rsidRPr="00AB1800">
        <w:rPr>
          <w:rStyle w:val="Verwijzing"/>
        </w:rPr>
        <w:instrText xml:space="preserve"> REF _Ref_9a1ae002c5ed76e90d3caf2908511719_1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w:t>
      </w:r>
      <w:r w:rsidRPr="00AB1800">
        <w:rPr>
          <w:rStyle w:val="Verwijzing"/>
        </w:rPr>
        <w:fldChar w:fldCharType="end"/>
      </w:r>
      <w:r>
        <w:t xml:space="preserve"> worden ze in detail beschreven.</w:t>
      </w:r>
    </w:p>
    <w:p w14:paraId="729BE128" w14:textId="04B46089" w:rsidR="00CF6519" w:rsidRDefault="00CF6519" w:rsidP="00C34A7B">
      <w:r w:rsidRPr="00CF6519">
        <w:t>Benadrukt wordt dat IMOW alleen van toepassing is op het inhoudelijke deel van omgevingsdocumenten, oftewel het onderdeel dat de artikelen respectievelijk de beleidsteksten bevat.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