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C34A7B" w:rsidRDefault="00590129" w:rsidP="00C34A7B">
      <w:pPr>
        <w:pStyle w:val="Kop5"/>
      </w:pPr>
      <w:r w:rsidRPr="007B75D9">
        <w:t>Toelichting op de norm</w:t>
      </w:r>
    </w:p>
    <w:p w14:paraId="41B5BE5B" w14:textId="7CF2389E" w:rsidR="00E83527" w:rsidRPr="00D25AE7" w:rsidRDefault="00E83527" w:rsidP="00C34A7B">
      <w:pPr>
        <w:pStyle w:val="Opsommingtekens1"/>
      </w:pPr>
      <w:r w:rsidRPr="00D25AE7">
        <w:rPr>
          <w:i/>
          <w:iCs/>
        </w:rPr>
        <w:t>identificatie</w:t>
      </w:r>
      <w:r w:rsidRPr="00D25AE7">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50960D7C" w:rsidR="00C34A7B" w:rsidRDefault="00590129" w:rsidP="00C34A7B">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rsidRPr="00AB1800">
        <w:rPr>
          <w:rStyle w:val="Verwijzing"/>
        </w:rPr>
        <w:fldChar w:fldCharType="begin"/>
      </w:r>
      <w:r w:rsidRPr="00AB1800">
        <w:rPr>
          <w:rStyle w:val="Verwijzing"/>
        </w:rPr>
        <w:instrText xml:space="preserve"> REF _Ref_2c9cf802752f5f63b03b95553ffa6e3a_1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6.2.2.2</w:t>
      </w:r>
      <w:r w:rsidRPr="00AB1800">
        <w:rPr>
          <w:rStyle w:val="Verwijzing"/>
        </w:rPr>
        <w:fldChar w:fldCharType="end"/>
      </w:r>
      <w:r>
        <w:t>.</w:t>
      </w:r>
    </w:p>
    <w:p w14:paraId="7CE46E50" w14:textId="7736B936" w:rsidR="00C34A7B" w:rsidRDefault="00F76C2B" w:rsidP="00C34A7B">
      <w:pPr>
        <w:pStyle w:val="Opsommingtekens1"/>
      </w:pPr>
      <w:r w:rsidRPr="00EF1BBE">
        <w:rPr>
          <w:i/>
        </w:rPr>
        <w:lastRenderedPageBreak/>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w:t>
      </w:r>
      <w:r w:rsidRPr="00371C3A">
        <w:t xml:space="preserve">Voor </w:t>
      </w:r>
      <w:r w:rsidRPr="0042535A">
        <w:rPr>
          <w:i/>
          <w:iCs/>
        </w:rPr>
        <w:t>eenheid</w:t>
      </w:r>
      <w:r w:rsidRPr="00371C3A">
        <w:t xml:space="preserve"> kan gebruik gemaakt worden van de uitbreidbare waardelijst 'Eenheid</w:t>
      </w:r>
      <w:r>
        <w:t>’</w:t>
      </w:r>
      <w:r w:rsidRPr="00371C3A">
        <w:t xml:space="preserve">. </w:t>
      </w:r>
      <w:r w:rsidRPr="00F40ED8">
        <w:rPr>
          <w:i/>
          <w:iCs/>
        </w:rPr>
        <w:t>hoogte</w:t>
      </w:r>
      <w:r>
        <w:t xml:space="preserve"> kan bijvoorbeeld worden gebruikt om van (de omgevingswaarde) geluidproductieplafonds aan te geven op welke hoogte ze gelden; in dat geval wordt de </w:t>
      </w:r>
      <w:r w:rsidRPr="004A0394">
        <w:t>eenheid</w:t>
      </w:r>
      <w:r>
        <w:t xml:space="preserve"> meter gekozen. Een ander voorbeeld van de toepassing van </w:t>
      </w:r>
      <w:r w:rsidRPr="0042535A">
        <w:rPr>
          <w:i/>
          <w:iCs/>
        </w:rPr>
        <w:t>hoogte</w:t>
      </w:r>
      <w:r>
        <w:t xml:space="preserve"> is het vastleggen van de bouwlaag in een gebouw waar een bepaalde activiteit verricht mag worden. In dat geval </w:t>
      </w:r>
      <w:r w:rsidRPr="004A0394">
        <w:t xml:space="preserve">wordt de eenheid </w:t>
      </w:r>
      <w:r>
        <w:t>bouwlaag</w:t>
      </w:r>
      <w:r w:rsidRPr="004A0394">
        <w:t xml:space="preserve"> gekozen</w:t>
      </w:r>
      <w:r>
        <w:t>; bovengrondse bouwlagen worden in een positief getal uitgedrukt, ondergrondse bouwlagen in een negatief getal.</w:t>
      </w:r>
    </w:p>
    <w:p w14:paraId="214DC04F" w14:textId="77777777" w:rsidR="000B3698" w:rsidRPr="00D25AE7" w:rsidRDefault="00590129" w:rsidP="000B3698">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r w:rsidR="000B3698">
        <w:t xml:space="preserve"> </w:t>
      </w:r>
      <w:r w:rsidR="000B3698" w:rsidRPr="00D25AE7">
        <w:t>Bij Ambtsgebied kan er geen geometrie worden meegeleverd.</w:t>
      </w:r>
    </w:p>
    <w:p w14:paraId="3ED75C9C" w14:textId="77777777" w:rsidR="000B3698" w:rsidRPr="00D25AE7" w:rsidRDefault="000B3698" w:rsidP="000B3698">
      <w:pPr>
        <w:pStyle w:val="Opsommingtekens1"/>
      </w:pPr>
      <w:r w:rsidRPr="00D25AE7">
        <w:rPr>
          <w:i/>
        </w:rPr>
        <w:t xml:space="preserve">domein: </w:t>
      </w:r>
      <w:r w:rsidRPr="00D25AE7">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67089234" w14:textId="77777777" w:rsidR="000B3698" w:rsidRPr="00D25AE7" w:rsidRDefault="000B3698" w:rsidP="000B3698">
      <w:pPr>
        <w:pStyle w:val="Opsommingtekens1"/>
      </w:pPr>
      <w:r w:rsidRPr="00D25AE7">
        <w:rPr>
          <w:i/>
        </w:rPr>
        <w:t xml:space="preserve">geldigOp: </w:t>
      </w:r>
      <w:r w:rsidRPr="00D25AE7">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4EDDC44F" w14:textId="77777777" w:rsidR="000B3698" w:rsidRPr="00D25AE7" w:rsidRDefault="000B3698" w:rsidP="000B3698"/>
    <w:p w14:paraId="2CC0E85C" w14:textId="77777777" w:rsidR="000B3698" w:rsidRPr="005A43CD" w:rsidRDefault="000B3698" w:rsidP="000B3698">
      <w:r w:rsidRPr="00D25AE7">
        <w:t>Met uitzondering van Locatie in de verschijningsvorm van Ambtsgebied wordt</w:t>
      </w:r>
      <w:r w:rsidRPr="000B3698">
        <w:t xml:space="preserve"> </w:t>
      </w:r>
      <w:r w:rsidRPr="005A43CD">
        <w:t>Locatie altijd vastgelegd in een geografisch informatieobject.</w:t>
      </w:r>
    </w:p>
    <w:p w14:paraId="7F9EED35" w14:textId="77777777" w:rsidR="000B3698" w:rsidRPr="005A43CD" w:rsidRDefault="000B3698" w:rsidP="000B3698"/>
    <w:p w14:paraId="2B663BD6" w14:textId="50FF68C9" w:rsidR="00AB1800" w:rsidRPr="00D25AE7" w:rsidRDefault="000B3698" w:rsidP="000B3698">
      <w:r w:rsidRPr="00D25AE7">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006D0379" w:rsidRPr="00AB1800">
        <w:rPr>
          <w:rStyle w:val="Verwijzing"/>
        </w:rPr>
        <w:fldChar w:fldCharType="begin"/>
      </w:r>
      <w:r w:rsidR="006D0379" w:rsidRPr="00AB1800">
        <w:rPr>
          <w:rStyle w:val="Verwijzing"/>
        </w:rPr>
        <w:instrText xml:space="preserve"> REF _Ref_2c9cf802752f5f63b03b95553ffa6e3a_1 </w:instrText>
      </w:r>
      <w:r w:rsidR="00306D24" w:rsidRPr="00AB1800">
        <w:rPr>
          <w:rStyle w:val="Verwijzing"/>
        </w:rPr>
        <w:instrText>\n \h</w:instrText>
      </w:r>
      <w:r w:rsidR="006D0379" w:rsidRPr="00AB1800">
        <w:rPr>
          <w:rStyle w:val="Verwijzing"/>
        </w:rPr>
        <w:instrText xml:space="preserve"> </w:instrText>
      </w:r>
      <w:r w:rsidR="006D0379" w:rsidRPr="00AB1800">
        <w:rPr>
          <w:rStyle w:val="Verwijzing"/>
        </w:rPr>
      </w:r>
      <w:r w:rsidR="006D0379" w:rsidRPr="00AB1800">
        <w:rPr>
          <w:rStyle w:val="Verwijzing"/>
        </w:rPr>
        <w:fldChar w:fldCharType="separate"/>
      </w:r>
      <w:r w:rsidR="00987731" w:rsidRPr="00AB1800">
        <w:rPr>
          <w:rStyle w:val="Verwijzing"/>
        </w:rPr>
        <w:t>6.2.2.2</w:t>
      </w:r>
      <w:r w:rsidR="006D0379" w:rsidRPr="00AB1800">
        <w:rPr>
          <w:rStyle w:val="Verwijzing"/>
        </w:rPr>
        <w:fldChar w:fldCharType="end"/>
      </w:r>
      <w:r w:rsidRPr="00D25AE7">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666F7CA2" w14:textId="0C1240F6" w:rsidR="000B3698" w:rsidRPr="00D25AE7" w:rsidRDefault="000B3698" w:rsidP="000B3698">
      <w:r w:rsidRPr="00D25AE7">
        <w:t xml:space="preserve">Ambtsgebied wordt niet door het bevoegd gezag vastgelegd met het object Geometrie en heeft geen hoogteligging. Het kent daarom niet de attributen </w:t>
      </w:r>
      <w:r w:rsidRPr="00D25AE7">
        <w:rPr>
          <w:i/>
          <w:iCs/>
        </w:rPr>
        <w:t>geometrie</w:t>
      </w:r>
      <w:r w:rsidRPr="00D25AE7">
        <w:t xml:space="preserve"> en </w:t>
      </w:r>
      <w:r w:rsidRPr="00D25AE7">
        <w:rPr>
          <w:i/>
          <w:iCs/>
        </w:rPr>
        <w:t>hoogte</w:t>
      </w:r>
      <w:r w:rsidRPr="00D25AE7">
        <w:t>.</w:t>
      </w:r>
    </w:p>
    <w:p w14:paraId="5E0D512E" w14:textId="77777777" w:rsidR="000B3698" w:rsidRPr="00D25AE7" w:rsidRDefault="000B3698" w:rsidP="000B3698"/>
    <w:p w14:paraId="3FF034FE" w14:textId="77777777" w:rsidR="000B3698" w:rsidRPr="00D25AE7" w:rsidRDefault="000B3698" w:rsidP="000B3698">
      <w:r w:rsidRPr="00D25AE7">
        <w:t xml:space="preserve">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w:t>
      </w:r>
      <w:r w:rsidRPr="00D25AE7">
        <w:lastRenderedPageBreak/>
        <w:t>regel voor een nieuw gebied gaat gelden, zonder dat betrokkenen in dat gebied de mogelijkheid hebben gehad om daartegen beroep in te stellen.</w:t>
      </w:r>
    </w:p>
    <w:p w14:paraId="5F68F5CE" w14:textId="4C897A5D" w:rsidR="000B3698" w:rsidRDefault="000B3698" w:rsidP="006D76FE">
      <w:pPr>
        <w:pStyle w:val="Kader"/>
      </w:pPr>
      <w:r>
        <w:rPr>
          <w:noProof/>
        </w:rPr>
        <mc:AlternateContent>
          <mc:Choice Requires="wps">
            <w:drawing>
              <wp:inline distT="0" distB="0" distL="0" distR="0" wp14:anchorId="38DC1484" wp14:editId="7FF66D76">
                <wp:extent cx="1828800" cy="1828800"/>
                <wp:effectExtent l="0" t="0" r="22860" b="10160"/>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solidFill>
                            <a:prstClr val="black"/>
                          </a:solidFill>
                        </a:ln>
                      </wps:spPr>
                      <wps:txbx>
                        <w:txbxContent>
                          <w:p w14:paraId="6E0BD3F5" w14:textId="77777777" w:rsidR="000B3698" w:rsidRPr="00044BBB" w:rsidRDefault="000B3698" w:rsidP="000B3698">
                            <w:pPr>
                              <w:rPr>
                                <w:b/>
                                <w:bCs/>
                              </w:rPr>
                            </w:pPr>
                            <w:r w:rsidRPr="00044BBB">
                              <w:rPr>
                                <w:b/>
                                <w:bCs/>
                              </w:rPr>
                              <w:t>Toekomstige functionaliteit</w:t>
                            </w:r>
                          </w:p>
                          <w:p w14:paraId="56CF4D32" w14:textId="77777777" w:rsidR="000B3698" w:rsidRPr="0034067F" w:rsidRDefault="000B3698" w:rsidP="000B3698">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8DC1484" id="Tekstvak 2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xsTQIAAJoEAAAOAAAAZHJzL2Uyb0RvYy54bWysVE1v2zAMvQ/YfxB0X52kH0uNOkXWIsOA&#10;oC3QDj0rstwYkUVBUmJnv35PcpwG3U7DLrIoPlHke6RvbrtGs51yviZT8PHZiDNlJJW1eSv4z5fF&#10;lylnPghTCk1GFXyvPL+dff5009pcTWhNulSOIYjxeWsLvg7B5lnm5Vo1wp+RVQbOilwjAkz3lpVO&#10;tIje6GwyGl1lLbnSOpLKe5ze904+S/GrSsnwWFVeBaYLjtxCWl1aV3HNZjcif3PCrmt5SEP8QxaN&#10;qA0ePYa6F0Gwrav/CNXU0pGnKpxJajKqqlqqVAOqGY8+VPO8FlalWkCOt0ea/P8LKx92T47VZcEn&#10;55wZ0UCjF7XxYSc2DEfgp7U+B+zZAhi6b9RB51Srt0uSGw9IdoLpL3igIx9d5Zr4RaUMFyHB/ki7&#10;6gKTMdp0Mp2O4JLwDUaM+n7dOh++K2pY3BTcQdeUgtgtfeihAyS+ZmhRa41zkWvD2oJfnV+O+pxJ&#10;12V0Rl+8cqcd2wl0x0oLuYn14ln/joKlzaHCvqhYa+hWXc/awNCKyj0IctS3mLdyUSP8UvjwJBx6&#10;CvVhTsIjlkoTcqLDjrM1uV9/O494SA0vZy16tOAGQ8SZ/mHQAtfji4vY0sm4uPw6geFOPatTj9k2&#10;d4Qyx5hHK9M24oMetpWj5hXDNI9vwiWMxMsFD8P2LvRzg2GUaj5PIDSxFWFpnq0cuiKS+tK9CmcP&#10;YgXo/EBDL4v8g2Y9Nsrh7XwboFwSNLLcc3ogHwOQtDkMa5ywUzuh3n8ps98AAAD//wMAUEsDBBQA&#10;BgAIAAAAIQCZwjQC1gAAAAUBAAAPAAAAZHJzL2Rvd25yZXYueG1sTI9BT4NAEIXvJv6HzZh4s4sc&#10;GkJZmqbRoweLHrxt2REI7Cxhp0D/vaMx0ctkXt7kzfeK/eoHNeMUu0AGHjcJKKQ6uI4aA2/V80MG&#10;KrIlZ4dAaOCKEfbl7U1hcxcWesX5xI2SEIq5NdAyj7nWsW7R27gJI5J4n2HylkVOjXaTXSTcDzpN&#10;kq32tiP50NoRjy3W/eniDRz6qtryfPx46V28Nu/rwk/pYsz93XrYgWJc+e8YvvEFHUphOocLuagG&#10;A1KEf6Z4aZaJPP8uuiz0f/ryCwAA//8DAFBLAQItABQABgAIAAAAIQC2gziS/gAAAOEBAAATAAAA&#10;AAAAAAAAAAAAAAAAAABbQ29udGVudF9UeXBlc10ueG1sUEsBAi0AFAAGAAgAAAAhADj9If/WAAAA&#10;lAEAAAsAAAAAAAAAAAAAAAAALwEAAF9yZWxzLy5yZWxzUEsBAi0AFAAGAAgAAAAhACgPLGxNAgAA&#10;mgQAAA4AAAAAAAAAAAAAAAAALgIAAGRycy9lMm9Eb2MueG1sUEsBAi0AFAAGAAgAAAAhAJnCNALW&#10;AAAABQEAAA8AAAAAAAAAAAAAAAAApwQAAGRycy9kb3ducmV2LnhtbFBLBQYAAAAABAAEAPMAAACq&#10;BQAAAAA=&#10;" filled="f" strokeweight=".5pt">
                <v:path arrowok="t"/>
                <v:textbox style="mso-fit-shape-to-text:t">
                  <w:txbxContent>
                    <w:p w14:paraId="6E0BD3F5" w14:textId="77777777" w:rsidR="000B3698" w:rsidRPr="00044BBB" w:rsidRDefault="000B3698" w:rsidP="000B3698">
                      <w:pPr>
                        <w:rPr>
                          <w:b/>
                          <w:bCs/>
                        </w:rPr>
                      </w:pPr>
                      <w:r w:rsidRPr="00044BBB">
                        <w:rPr>
                          <w:b/>
                          <w:bCs/>
                        </w:rPr>
                        <w:t>Toekomstige functionaliteit</w:t>
                      </w:r>
                    </w:p>
                    <w:p w14:paraId="56CF4D32" w14:textId="77777777" w:rsidR="000B3698" w:rsidRPr="0034067F" w:rsidRDefault="000B3698" w:rsidP="000B3698">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