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402E" w14:textId="0F573185" w:rsidR="0056703D" w:rsidRPr="00F62F31" w:rsidRDefault="0056703D" w:rsidP="0056703D">
      <w:pPr>
        <w:pStyle w:val="Kop2"/>
        <w:rPr>
          <w:noProof/>
        </w:rPr>
      </w:pPr>
      <w:bookmarkStart w:id="77" w:name="_Ref_6de55eb848e97a2be6b773edef1c907b_1"/>
      <w:bookmarkStart w:id="80" w:name="_Ref_6de55eb848e97a2be6b773edef1c907b_2"/>
      <w:r w:rsidRPr="00F62F31">
        <w:rPr>
          <w:noProof/>
        </w:rPr>
        <w:lastRenderedPageBreak/>
        <w:t>Besluit</w:t>
      </w:r>
      <w:r>
        <w:rPr>
          <w:noProof/>
        </w:rPr>
        <w:t>,</w:t>
      </w:r>
      <w:r w:rsidRPr="00F62F31">
        <w:rPr>
          <w:noProof/>
        </w:rPr>
        <w:t xml:space="preserve"> besluitonderdelen</w:t>
      </w:r>
      <w:r>
        <w:rPr>
          <w:noProof/>
        </w:rPr>
        <w:t xml:space="preserve"> en </w:t>
      </w:r>
      <w:bookmarkEnd w:id="77"/>
      <w:r>
        <w:rPr>
          <w:noProof/>
        </w:rPr>
        <w:fldChar w:fldCharType="begin"/>
      </w:r>
      <w:r>
        <w:rPr>
          <w:noProof/>
        </w:rPr>
        <w:instrText xml:space="preserve"> DOCVARIABLE ID01 </w:instrText>
      </w:r>
      <w:r>
        <w:rPr>
          <w:noProof/>
        </w:rPr>
        <w:fldChar w:fldCharType="separate"/>
      </w:r>
      <w:r w:rsidR="00174629">
        <w:rPr>
          <w:noProof/>
        </w:rPr>
        <w:t>omgevingsvisie</w:t>
      </w:r>
      <w:r>
        <w:rPr>
          <w:noProof/>
        </w:rPr>
        <w:fldChar w:fldCharType="end"/>
      </w:r>
      <w:bookmarkEnd w:id="80"/>
    </w:p>
    <w:p w14:paraId="524CD138" w14:textId="0EE8F0F2" w:rsidR="0056703D" w:rsidRPr="00F62F31" w:rsidRDefault="0056703D" w:rsidP="0056703D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4629">
        <w:rPr>
          <w:noProof/>
        </w:rPr>
        <w:t>omgevingsvisie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