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ACA3F" w14:textId="074518BB" w:rsidR="00E33EDD" w:rsidRPr="002D2D4E" w:rsidRDefault="00E33EDD" w:rsidP="00E33EDD">
      <w:pPr>
        <w:pStyle w:val="Kop3"/>
      </w:pPr>
      <w:bookmarkStart w:id="19" w:name="_Ref_632ceddf5a7590ed69e73d443ddaca8f_1"/>
      <w:r w:rsidRPr="002D2D4E">
        <w:t xml:space="preserve">De inhoud van </w:t>
      </w:r>
      <w:r w:rsidRPr="00A80EBC">
        <w:fldChar w:fldCharType="begin"/>
      </w:r>
      <w:r w:rsidRPr="002D2D4E">
        <w:instrText xml:space="preserve"> DOCVARIABLE ID01+ </w:instrText>
      </w:r>
      <w:r w:rsidRPr="00A80EBC">
        <w:fldChar w:fldCharType="separate"/>
      </w:r>
      <w:r w:rsidR="0031485F">
        <w:t>het projectbesluit</w:t>
      </w:r>
      <w:r w:rsidRPr="00A80EBC">
        <w:fldChar w:fldCharType="end"/>
      </w:r>
      <w:bookmarkEnd w:id="19"/>
    </w:p>
    <w:p w14:paraId="6FA2B9F5" w14:textId="142E3D99" w:rsidR="00B91230" w:rsidRPr="002D2D4E" w:rsidRDefault="00E33EDD" w:rsidP="00CD1DDA">
      <w:r w:rsidRPr="002D2D4E">
        <w:t xml:space="preserve">De Omgevingswet geeft geen sluitend overzicht van </w:t>
      </w:r>
      <w:r w:rsidR="00CF3600">
        <w:t xml:space="preserve">projecten waarvoor een </w:t>
      </w:r>
      <w:r w:rsidR="00DD6FB4">
        <w:fldChar w:fldCharType="begin"/>
      </w:r>
      <w:r w:rsidR="00DD6FB4">
        <w:instrText xml:space="preserve"> DOCVARIABLE ID01 </w:instrText>
      </w:r>
      <w:r w:rsidR="00DD6FB4">
        <w:fldChar w:fldCharType="separate"/>
      </w:r>
      <w:r w:rsidR="0031485F">
        <w:t>projectbesluit</w:t>
      </w:r>
      <w:r w:rsidR="00DD6FB4">
        <w:fldChar w:fldCharType="end"/>
      </w:r>
      <w:r w:rsidR="00A5482E">
        <w:t xml:space="preserve"> genomen kan worden.</w:t>
      </w:r>
      <w:r w:rsidRPr="002D2D4E">
        <w:t xml:space="preserve"> Wel </w:t>
      </w:r>
      <w:r w:rsidR="00970630" w:rsidRPr="00A80EBC">
        <w:t>staa</w:t>
      </w:r>
      <w:r w:rsidR="00A5482E">
        <w:t>n</w:t>
      </w:r>
      <w:r w:rsidR="00970630" w:rsidRPr="00A80EBC">
        <w:t xml:space="preserve"> in de wet </w:t>
      </w:r>
      <w:r w:rsidR="00F92E14" w:rsidRPr="00A80EBC">
        <w:t xml:space="preserve">specifiekere bepalingen over de </w:t>
      </w:r>
      <w:r w:rsidR="00CF500F">
        <w:t>onderdelen die het projectbesluit moet respectievelijk kan bevatten</w:t>
      </w:r>
      <w:r w:rsidR="00424E42">
        <w:t xml:space="preserve">. </w:t>
      </w:r>
      <w:r w:rsidR="001741BA">
        <w:t xml:space="preserve">Dat zijn in ieder geval </w:t>
      </w:r>
      <w:r w:rsidR="00B91230" w:rsidRPr="002D2D4E">
        <w:t>de volgende onderdelen:</w:t>
      </w:r>
    </w:p>
    <w:p w14:paraId="5BECB63D" w14:textId="77777777" w:rsidR="00430779" w:rsidRPr="002D2D4E" w:rsidRDefault="00430779" w:rsidP="00430779">
      <w:pPr>
        <w:pStyle w:val="Opsommingtekens1"/>
      </w:pPr>
      <w:r w:rsidRPr="002D2D4E">
        <w:t>Motivering en overwegingen (verplicht)</w:t>
      </w:r>
      <w:r w:rsidRPr="002D2D4E">
        <w:br/>
        <w:t>Dit deel bevat de motivering van het besluit met de overwegingen van het dagelijks bestuur waterschap, gedeputeerde staten of de minister die leiden tot het nemen van het besluit, waaronder de wijze waarop met ingekomen zienswijzen is omgegaan. Er wordt een inhoudelijke onderbouwing van het besluit gegeven waarbij kan worden verwezen naar relevant beleid uit de omgevingsvisie van gemeente, provincie of Rijk.</w:t>
      </w:r>
    </w:p>
    <w:p w14:paraId="2318207F" w14:textId="77777777" w:rsidR="00430779" w:rsidRPr="002D2D4E" w:rsidRDefault="00430779" w:rsidP="00430779">
      <w:pPr>
        <w:pStyle w:val="Opsommingtekens1"/>
      </w:pPr>
      <w:r w:rsidRPr="002D2D4E">
        <w:t>Projectbeschrijving (verplicht)</w:t>
      </w:r>
      <w:r w:rsidRPr="002D2D4E">
        <w:br/>
        <w:t>Een beschrijving van het project waarvoor het projectbesluit wordt vastgesteld. De projectbeschrijving geeft aan wat op basis van het projectbesluit definitief wordt gerealiseerd.</w:t>
      </w:r>
    </w:p>
    <w:p w14:paraId="6FA375E9" w14:textId="77777777" w:rsidR="00430779" w:rsidRPr="002D2D4E" w:rsidRDefault="00430779" w:rsidP="00430779">
      <w:pPr>
        <w:pStyle w:val="Opsommingtekens1"/>
      </w:pPr>
      <w:r w:rsidRPr="002D2D4E">
        <w:lastRenderedPageBreak/>
        <w:t>Verkenning en motivering participatie (verplicht)</w:t>
      </w:r>
      <w:r w:rsidRPr="002D2D4E">
        <w:br/>
        <w:t>In de verkenning onderzoekt het bevoegd gezag de mogelijke oplossingen voor een opgave.</w:t>
      </w:r>
      <w:r w:rsidRPr="002D2D4E">
        <w:br/>
        <w:t>Door de verkenning wil het bevoegd gezag inzichten krijgen in:</w:t>
      </w:r>
    </w:p>
    <w:p w14:paraId="6CEF5A50" w14:textId="77777777" w:rsidR="00430779" w:rsidRPr="002D2D4E" w:rsidRDefault="00430779" w:rsidP="00430779">
      <w:pPr>
        <w:pStyle w:val="Opsommingtekens2"/>
      </w:pPr>
      <w:r w:rsidRPr="002D2D4E">
        <w:t>de aard van de opgave</w:t>
      </w:r>
    </w:p>
    <w:p w14:paraId="356893D8" w14:textId="77777777" w:rsidR="00430779" w:rsidRPr="002D2D4E" w:rsidRDefault="00430779" w:rsidP="00430779">
      <w:pPr>
        <w:pStyle w:val="Opsommingtekens2"/>
      </w:pPr>
      <w:r w:rsidRPr="002D2D4E">
        <w:t>de relevante ontwikkelingen voor de fysieke leefomgeving</w:t>
      </w:r>
    </w:p>
    <w:p w14:paraId="6E3C9D55" w14:textId="57D307F0" w:rsidR="006A03EE" w:rsidRPr="002D2D4E" w:rsidRDefault="00430779" w:rsidP="00430779">
      <w:pPr>
        <w:pStyle w:val="Opsommingtekens2"/>
      </w:pPr>
      <w:r w:rsidRPr="002D2D4E">
        <w:t>de mogelijke oplossingen voor die opgave.</w:t>
      </w:r>
    </w:p>
    <w:p w14:paraId="7D7ED926" w14:textId="266CB021" w:rsidR="00430779" w:rsidRPr="002D2D4E" w:rsidRDefault="00430779" w:rsidP="00430779">
      <w:pPr>
        <w:pStyle w:val="Opsommingtekens1"/>
        <w:numPr>
          <w:ilvl w:val="0"/>
          <w:numId w:val="0"/>
        </w:numPr>
        <w:ind w:left="284"/>
      </w:pPr>
      <w:r w:rsidRPr="002D2D4E">
        <w:t>Hieronder vallen ook de oplossingen die anderen aandragen. En waarvan het bevoegd gezag na beoordeling ervan besluit deze mee te nemen in de verkenning.</w:t>
      </w:r>
      <w:r w:rsidRPr="002D2D4E">
        <w:br/>
        <w:t>Het bevoegd gezag bepaalt zelf de invulling van de verkenning. De verkenning moet uiteindelijk voldoende informatie bieden om een projectbesluit te kunnen opstellen. Of om een voorkeursbeslissing te kunnen nemen. Het milieueffectrapport kan onderdeel zijn van de verkenning. De wijze waarop invulling is gegeven aan het participatieproces en de resultaten hiervan moeten worden beschreven in het projectbesluit. Dit is geregeld in artikel 5.51. Als ter voorbereiding van een projectbesluit een voorkeursbeslissing wordt genomen, wordt de invulling van het participatieproces tijdens de verkenning al beschreven in de voorkeurs-beslissing. Bij het projectbesluit kan dan ook gebruik worden gemaakt van deze beschrijving.</w:t>
      </w:r>
    </w:p>
    <w:p w14:paraId="065D879C" w14:textId="77777777" w:rsidR="00430779" w:rsidRPr="002D2D4E" w:rsidRDefault="00430779" w:rsidP="00430779">
      <w:pPr>
        <w:pStyle w:val="Opsommingtekens1"/>
      </w:pPr>
      <w:r w:rsidRPr="002D2D4E">
        <w:t>Tijdelijke maatregelen en voorzieningen (verplicht)</w:t>
      </w:r>
      <w:r w:rsidRPr="002D2D4E">
        <w:br/>
        <w:t>Een beschrijving van de tijdelijke maatregelen en voorzieningen die voor het project worden getroffen. Het gaat dan bijvoorbeeld om het tijdelijk aanleggen van bouwwegen en werkterreinen.</w:t>
      </w:r>
    </w:p>
    <w:p w14:paraId="4D282870" w14:textId="77777777" w:rsidR="00430779" w:rsidRPr="002D2D4E" w:rsidRDefault="00430779" w:rsidP="00430779">
      <w:pPr>
        <w:pStyle w:val="Opsommingtekens1"/>
      </w:pPr>
      <w:r w:rsidRPr="002D2D4E">
        <w:t>Maatregelen ter voorkoming, beperking of compensatie van nadelige gevolgen (verplicht indien aan de orde)</w:t>
      </w:r>
      <w:r w:rsidRPr="002D2D4E">
        <w:br/>
        <w:t>Maatregelen die nodig zijn om de nadelige gevolgen van het project ongedaan te maken, te beperken of te compenseren. Het gaat dan bijvoorbeeld om geluidschermen, het toepassen van stil asfalt, het aanleggen of verlengen van een ecopassage of het treffen van maatregelen in het belang van het behoud van cultureel erfgoed.</w:t>
      </w:r>
    </w:p>
    <w:p w14:paraId="18A43671" w14:textId="77777777" w:rsidR="00430779" w:rsidRPr="002D2D4E" w:rsidRDefault="00430779" w:rsidP="00430779">
      <w:pPr>
        <w:pStyle w:val="Opsommingtekens1"/>
      </w:pPr>
      <w:r w:rsidRPr="002D2D4E">
        <w:t>Termijn waarin gemeente geen regels mag stellen die projectbesluit belemmeren 4.19A 3e lid(verplicht)</w:t>
      </w:r>
    </w:p>
    <w:p w14:paraId="6EC95A26" w14:textId="77777777" w:rsidR="00430779" w:rsidRPr="002D2D4E" w:rsidRDefault="00430779" w:rsidP="00430779"/>
    <w:p w14:paraId="3D94607C" w14:textId="40AA82B2" w:rsidR="00430779" w:rsidRPr="00A80EBC" w:rsidRDefault="00430779" w:rsidP="00430779">
      <w:r w:rsidRPr="002D2D4E">
        <w:t xml:space="preserve">De volgende onderdelen zijn voor </w:t>
      </w:r>
      <w:r w:rsidRPr="00A80EBC">
        <w:fldChar w:fldCharType="begin"/>
      </w:r>
      <w:r w:rsidRPr="002D2D4E">
        <w:instrText xml:space="preserve"> DOCVARIABLE ID01+ </w:instrText>
      </w:r>
      <w:r w:rsidRPr="00A80EBC">
        <w:fldChar w:fldCharType="separate"/>
      </w:r>
      <w:r w:rsidR="0031485F">
        <w:t>het projectbesluit</w:t>
      </w:r>
      <w:r w:rsidRPr="00A80EBC">
        <w:fldChar w:fldCharType="end"/>
      </w:r>
      <w:r w:rsidRPr="002D2D4E">
        <w:t xml:space="preserve"> facultatief:</w:t>
      </w:r>
    </w:p>
    <w:p w14:paraId="0046587B" w14:textId="77777777" w:rsidR="00430779" w:rsidRPr="002D2D4E" w:rsidRDefault="00430779" w:rsidP="00430779">
      <w:pPr>
        <w:pStyle w:val="Opsommingtekens1"/>
      </w:pPr>
      <w:r w:rsidRPr="002D2D4E">
        <w:t>Buiten toepassing gelaten regels (facultatief)</w:t>
      </w:r>
      <w:r w:rsidRPr="002D2D4E">
        <w:br/>
        <w:t>Bij het projectbesluit kan besloten worden regels van andere overheden buiten toepassing te laten. Dit is mogelijk als hier gemotiveerd kan worden aangegeven dat deze regels de uitvoering van het projectbesluit onevenredig belemmeren. Bijvoorbeeld: een beoordelingsregel in de Waterschapsverordening die een absoluut verbod inhoudt op het uitvoeren van een wateractiviteit en belemmerend is voor het uitvoeren van het project kan bij besluit van de Minister buiten toepassing gelaten worden.</w:t>
      </w:r>
    </w:p>
    <w:p w14:paraId="25BD1B96" w14:textId="3654671E" w:rsidR="00430779" w:rsidRPr="002D2D4E" w:rsidRDefault="00430779" w:rsidP="00430779">
      <w:pPr>
        <w:pStyle w:val="Opsommingtekens1"/>
      </w:pPr>
      <w:r w:rsidRPr="002D2D4E">
        <w:t xml:space="preserve">Omgevingsvergunningen </w:t>
      </w:r>
      <w:r>
        <w:t>en</w:t>
      </w:r>
      <w:r w:rsidRPr="002D2D4E">
        <w:t xml:space="preserve"> andere toestemmingen (facultatief)</w:t>
      </w:r>
      <w:r w:rsidRPr="002D2D4E">
        <w:br/>
        <w:t>Het projectbesluit geldt als omgevingsvergunning voor de expliciet in het projectbesluit genoemde activiteiten en als toestemming voor andere in het projectbesluit benoemde activiteiten. Het projectbesluit geldt daarnaast, als dit expliciet is bepaald, als verkeersbesluit of een besluit tot onttrekking van (een deel van) een weg aan de openbaarheid. Voor de vergunningen opgenomen in het projectbesluit is het bevoegd gezag dat het besluit genomen heeft tevens verantwoordelijk voor de handhaving hiervan.</w:t>
      </w:r>
    </w:p>
    <w:p w14:paraId="62D8061C" w14:textId="77777777" w:rsidR="00430779" w:rsidRPr="002D2D4E" w:rsidRDefault="00430779" w:rsidP="00430779">
      <w:pPr>
        <w:pStyle w:val="Opsommingtekens1"/>
      </w:pPr>
      <w:r w:rsidRPr="002D2D4E">
        <w:t>Uitwerking (facultatief)</w:t>
      </w:r>
      <w:r w:rsidRPr="002D2D4E">
        <w:br/>
        <w:t xml:space="preserve">In de uitwerking wordt ingegaan op de voorwaarden waaronder de uitwerking mag plaatsvinden. Hierbij kan worden aangegeven op welk deel van het projectgebied het uit </w:t>
      </w:r>
      <w:r w:rsidRPr="002D2D4E">
        <w:lastRenderedPageBreak/>
        <w:t>te werken projectbesluit betrekking heeft. De uitwerking vindt plaats na de vaststelling van het projectbesluit en kan, zolang de uitwerking nog niet is verwezenlijkt, door een nieuwe uitwerking worden vervangen (art. 5.54 lid 2 Ow). Bijvoorbeeld: In het projectbesluit is bepaald dat een brug over een rivier gebouwd wordt, maar de exacte hoogte en locatie van de brug moet nog bepaald worden.</w:t>
      </w:r>
    </w:p>
    <w:p w14:paraId="146F4661" w14:textId="77777777" w:rsidR="00430779" w:rsidRPr="002D2D4E" w:rsidRDefault="00430779" w:rsidP="00430779">
      <w:pPr>
        <w:pStyle w:val="Opsommingtekens1"/>
      </w:pPr>
      <w:r w:rsidRPr="002D2D4E">
        <w:t>Maatwerkvoorschriften (facultatief)</w:t>
      </w:r>
      <w:r w:rsidRPr="002D2D4E">
        <w:br/>
        <w:t>Een maatwerkvoorschrift is een specifiek voorschrift voor een activiteit. Met het maatwerkvoorschrift kan het bevoegd gezag algemeen geldende voorschriften in concrete situaties specifiek maken.</w:t>
      </w:r>
    </w:p>
    <w:p w14:paraId="44A9DA1B" w14:textId="55D80961" w:rsidR="00273638" w:rsidRDefault="00273638" w:rsidP="00125B97"/>
    <w:p w14:paraId="73ADDA75" w14:textId="7E36AFA4" w:rsidR="00B91230" w:rsidRPr="002D2D4E" w:rsidRDefault="001741BA" w:rsidP="00E33EDD">
      <w:r>
        <w:t xml:space="preserve">Daarnaast bepaalt de Omgevingswet dat </w:t>
      </w:r>
      <w:r w:rsidR="00F02F1A">
        <w:t>h</w:t>
      </w:r>
      <w:r w:rsidR="00F02F1A" w:rsidRPr="00F02F1A">
        <w:t xml:space="preserve">et projectbesluit het omgevingsplan </w:t>
      </w:r>
      <w:r w:rsidR="00273638">
        <w:t xml:space="preserve">kan wijzigen </w:t>
      </w:r>
      <w:r w:rsidR="00F02F1A" w:rsidRPr="00F02F1A">
        <w:t xml:space="preserve">met regels </w:t>
      </w:r>
      <w:r w:rsidR="00273638">
        <w:t xml:space="preserve">als dat </w:t>
      </w:r>
      <w:r w:rsidR="00F02F1A" w:rsidRPr="00F02F1A">
        <w:t xml:space="preserve">nodig </w:t>
      </w:r>
      <w:r w:rsidR="00273638">
        <w:t xml:space="preserve">is </w:t>
      </w:r>
      <w:r w:rsidR="00F02F1A" w:rsidRPr="00F02F1A">
        <w:t>voor het uitvoeren en in werking hebben of in stand houden van het project.</w:t>
      </w:r>
      <w:r w:rsidR="00273638">
        <w:t xml:space="preserve"> Zie hiervoor verder paragraaf </w:t>
      </w:r>
      <w:r w:rsidR="001F1F4B" w:rsidRPr="006A03EE">
        <w:rPr>
          <w:rStyle w:val="Verwijzing"/>
        </w:rPr>
        <w:fldChar w:fldCharType="begin"/>
      </w:r>
      <w:r w:rsidR="001F1F4B" w:rsidRPr="006A03EE">
        <w:rPr>
          <w:rStyle w:val="Verwijzing"/>
        </w:rPr>
        <w:instrText xml:space="preserve"> REF _Ref_1c724322bf1111ec9904477bc5d4eb0f_2 \r \h </w:instrText>
      </w:r>
      <w:r w:rsidR="001F1F4B" w:rsidRPr="006A03EE">
        <w:rPr>
          <w:rStyle w:val="Verwijzing"/>
        </w:rPr>
      </w:r>
      <w:r w:rsidR="001F1F4B" w:rsidRPr="006A03EE">
        <w:rPr>
          <w:rStyle w:val="Verwijzing"/>
        </w:rPr>
        <w:fldChar w:fldCharType="separate"/>
      </w:r>
      <w:r w:rsidR="0031485F" w:rsidRPr="006A03EE">
        <w:rPr>
          <w:rStyle w:val="Verwijzing"/>
        </w:rPr>
        <w:t>0</w:t>
      </w:r>
      <w:r w:rsidR="001F1F4B" w:rsidRPr="006A03EE">
        <w:rPr>
          <w:rStyle w:val="Verwijzing"/>
        </w:rPr>
        <w:fldChar w:fldCharType="end"/>
      </w:r>
      <w:r w:rsidR="001F1F4B">
        <w:t>.</w:t>
      </w:r>
    </w:p>
    <w:p w14:paraId="2E83C200" w14:textId="77777777" w:rsidR="00E33EDD" w:rsidRPr="002D2D4E" w:rsidRDefault="00E33EDD" w:rsidP="00E33EDD"/>
    <w:p w14:paraId="78769A21" w14:textId="55E46B29" w:rsidR="006A03EE" w:rsidRPr="002D2D4E" w:rsidRDefault="00E33EDD" w:rsidP="00E33EDD">
      <w:r w:rsidRPr="006A03EE">
        <w:rPr>
          <w:rStyle w:val="Verwijzing"/>
        </w:rPr>
        <w:fldChar w:fldCharType="begin"/>
      </w:r>
      <w:r w:rsidRPr="006A03EE">
        <w:rPr>
          <w:rStyle w:val="Verwijzing"/>
        </w:rPr>
        <w:instrText xml:space="preserve"> REF _Ref_632ceddf5a7590ed69e73d443ddaca8f_2 \n \h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Tabel 4</w:t>
      </w:r>
      <w:r w:rsidRPr="006A03EE">
        <w:rPr>
          <w:rStyle w:val="Verwijzing"/>
        </w:rPr>
        <w:fldChar w:fldCharType="end"/>
      </w:r>
      <w:r w:rsidRPr="002D2D4E">
        <w:t xml:space="preserve"> </w:t>
      </w:r>
      <w:r w:rsidR="005479AE" w:rsidRPr="00A80EBC">
        <w:t xml:space="preserve">biedt een overzicht van </w:t>
      </w:r>
      <w:r w:rsidR="00BC29F4">
        <w:t>enkele</w:t>
      </w:r>
      <w:r w:rsidR="00BC29F4" w:rsidRPr="00A80EBC">
        <w:t xml:space="preserve"> </w:t>
      </w:r>
      <w:r w:rsidR="005479AE" w:rsidRPr="00A80EBC">
        <w:t>bepalingen van de Omgevingswet over van het projectbesluit</w:t>
      </w:r>
      <w:r w:rsidRPr="00A80EBC">
        <w:t>.</w:t>
      </w:r>
      <w:bookmarkStart w:id="20" w:name="_Ref_632ceddf5a7590ed69e73d443ddaca8f_2"/>
    </w:p>
    <w:p w14:paraId="40854EB0" w14:textId="7903DD98" w:rsidR="00E33EDD" w:rsidRPr="002D2D4E" w:rsidRDefault="001D783A" w:rsidP="00E33EDD">
      <w:pPr>
        <w:pStyle w:val="Tabeltitel"/>
      </w:pPr>
      <w:r w:rsidRPr="002D2D4E">
        <w:t>Procedurele</w:t>
      </w:r>
      <w:r w:rsidR="00E33EDD" w:rsidRPr="002D2D4E">
        <w:t xml:space="preserve"> kenmerken </w:t>
      </w:r>
      <w:r w:rsidR="00E33EDD" w:rsidRPr="00A80EBC">
        <w:fldChar w:fldCharType="begin"/>
      </w:r>
      <w:r w:rsidR="00E33EDD" w:rsidRPr="002D2D4E">
        <w:rPr>
          <w:noProof/>
        </w:rPr>
        <w:instrText xml:space="preserve"> </w:instrText>
      </w:r>
      <w:r w:rsidR="00927E81" w:rsidRPr="002D2D4E">
        <w:rPr>
          <w:noProof/>
        </w:rPr>
        <w:instrText>DOCVARIABLE ID01</w:instrText>
      </w:r>
      <w:r w:rsidR="00E33EDD" w:rsidRPr="002D2D4E">
        <w:rPr>
          <w:noProof/>
        </w:rPr>
        <w:instrText xml:space="preserve"> </w:instrText>
      </w:r>
      <w:r w:rsidR="00E33EDD" w:rsidRPr="00A80EBC">
        <w:rPr>
          <w:noProof/>
        </w:rPr>
        <w:fldChar w:fldCharType="separate"/>
      </w:r>
      <w:r w:rsidR="0031485F">
        <w:rPr>
          <w:noProof/>
        </w:rPr>
        <w:t>projectbesluit</w:t>
      </w:r>
      <w:r w:rsidR="00E33EDD" w:rsidRPr="00A80EBC">
        <w:fldChar w:fldCharType="end"/>
      </w:r>
      <w:bookmarkEnd w:id="20"/>
    </w:p>
    <w:tbl>
      <w:tblPr>
        <w:tblStyle w:val="Tabel"/>
        <w:tblW w:w="5000" w:type="pct"/>
        <w:tblLayout w:type="fixed"/>
        <w:tblLook w:val="0620" w:firstRow="1" w:lastRow="0" w:firstColumn="0" w:lastColumn="0" w:noHBand="1" w:noVBand="1"/>
      </w:tblPr>
      <w:tblGrid>
        <w:gridCol w:w="2547"/>
        <w:gridCol w:w="1984"/>
        <w:gridCol w:w="3963"/>
      </w:tblGrid>
      <w:tr w:rsidR="00E33EDD" w:rsidRPr="002D2D4E" w14:paraId="07D1621F" w14:textId="77777777" w:rsidTr="00FE59B9">
        <w:trPr>
          <w:cnfStyle w:val="100000000000" w:firstRow="1" w:lastRow="0" w:firstColumn="0" w:lastColumn="0" w:oddVBand="0" w:evenVBand="0" w:oddHBand="0" w:evenHBand="0" w:firstRowFirstColumn="0" w:firstRowLastColumn="0" w:lastRowFirstColumn="0" w:lastRowLastColumn="0"/>
          <w:tblHeader/>
        </w:trPr>
        <w:tc>
          <w:tcPr>
            <w:tcW w:w="1499" w:type="pct"/>
          </w:tcPr>
          <w:p w14:paraId="55289B77" w14:textId="77777777" w:rsidR="00E33EDD" w:rsidRPr="00A80EBC" w:rsidRDefault="00E33EDD" w:rsidP="00D00483">
            <w:r w:rsidRPr="00A80EBC">
              <w:t>Onderwerp</w:t>
            </w:r>
          </w:p>
        </w:tc>
        <w:tc>
          <w:tcPr>
            <w:tcW w:w="1168" w:type="pct"/>
          </w:tcPr>
          <w:p w14:paraId="11E102CB" w14:textId="77777777" w:rsidR="00E33EDD" w:rsidRPr="002D2D4E" w:rsidRDefault="00E33EDD" w:rsidP="00D00483">
            <w:r w:rsidRPr="002D2D4E">
              <w:t>Bron</w:t>
            </w:r>
          </w:p>
        </w:tc>
        <w:tc>
          <w:tcPr>
            <w:tcW w:w="2333" w:type="pct"/>
          </w:tcPr>
          <w:p w14:paraId="0034E211" w14:textId="77777777" w:rsidR="00E33EDD" w:rsidRPr="002D2D4E" w:rsidRDefault="00E33EDD" w:rsidP="00D00483">
            <w:r w:rsidRPr="002D2D4E">
              <w:t>Karakterisering/Toelichting</w:t>
            </w:r>
          </w:p>
        </w:tc>
      </w:tr>
      <w:tr w:rsidR="00E33EDD" w:rsidRPr="002D2D4E" w14:paraId="4C7B19ED" w14:textId="77777777" w:rsidTr="00FE59B9">
        <w:tc>
          <w:tcPr>
            <w:tcW w:w="1499" w:type="pct"/>
          </w:tcPr>
          <w:p w14:paraId="06ADFEBB" w14:textId="66C4420D" w:rsidR="00E33EDD" w:rsidRPr="002D2D4E" w:rsidRDefault="003F3D18" w:rsidP="00D00483">
            <w:r w:rsidRPr="002D2D4E">
              <w:t>Directe werking projectbesluit</w:t>
            </w:r>
          </w:p>
        </w:tc>
        <w:tc>
          <w:tcPr>
            <w:tcW w:w="1168" w:type="pct"/>
          </w:tcPr>
          <w:p w14:paraId="5C120804" w14:textId="5760EFE7" w:rsidR="00E33EDD" w:rsidRPr="002D2D4E" w:rsidRDefault="009E0018" w:rsidP="00D00483">
            <w:r w:rsidRPr="002D2D4E">
              <w:t>art. 5.52 Ow</w:t>
            </w:r>
          </w:p>
        </w:tc>
        <w:tc>
          <w:tcPr>
            <w:tcW w:w="2333" w:type="pct"/>
          </w:tcPr>
          <w:p w14:paraId="01B65F85" w14:textId="2EAD2D3B" w:rsidR="00E33EDD" w:rsidRPr="002D2D4E" w:rsidRDefault="001574B5" w:rsidP="00D00483">
            <w:r w:rsidRPr="002D2D4E">
              <w:t>Geldt als omgevingsvergunning voor de expliciet in het projectbesluit genoemde activiteiten</w:t>
            </w:r>
            <w:r w:rsidR="00B35FCB">
              <w:t>,</w:t>
            </w:r>
            <w:r w:rsidRPr="002D2D4E">
              <w:t xml:space="preserve"> wijzigt het omgevingsplan  met regels die nodig zijn voor het uitvoeren, in werking hebben of in stand houden van het project.</w:t>
            </w:r>
          </w:p>
        </w:tc>
      </w:tr>
      <w:tr w:rsidR="00E33EDD" w:rsidRPr="002D2D4E" w14:paraId="19F461C2" w14:textId="77777777" w:rsidTr="00FE59B9">
        <w:tc>
          <w:tcPr>
            <w:tcW w:w="1499" w:type="pct"/>
          </w:tcPr>
          <w:p w14:paraId="299E842D" w14:textId="6CE6A13B" w:rsidR="00E33EDD" w:rsidRPr="002D2D4E" w:rsidRDefault="003A2A4E" w:rsidP="00D00483">
            <w:r w:rsidRPr="002D2D4E">
              <w:t>Overdracht bevoegdheid tot vaststellen projectbesluit</w:t>
            </w:r>
          </w:p>
        </w:tc>
        <w:tc>
          <w:tcPr>
            <w:tcW w:w="1168" w:type="pct"/>
          </w:tcPr>
          <w:p w14:paraId="41416C1E" w14:textId="11F8EB6F" w:rsidR="00E33EDD" w:rsidRPr="002D2D4E" w:rsidRDefault="00045006" w:rsidP="00D00483">
            <w:pPr>
              <w:rPr>
                <w:lang w:val="en-US"/>
              </w:rPr>
            </w:pPr>
            <w:r w:rsidRPr="002D2D4E">
              <w:rPr>
                <w:lang w:val="en-US"/>
              </w:rPr>
              <w:t>art. 5.44b Ow</w:t>
            </w:r>
          </w:p>
        </w:tc>
        <w:tc>
          <w:tcPr>
            <w:tcW w:w="2333" w:type="pct"/>
          </w:tcPr>
          <w:p w14:paraId="20E2055C" w14:textId="1E1719EC" w:rsidR="00E33EDD" w:rsidRPr="002D2D4E" w:rsidRDefault="009B5C33" w:rsidP="00D00483">
            <w:r w:rsidRPr="002D2D4E">
              <w:t>Het Rijk kan de bevoegdheid voor het vaststellen van het projectbesluit overdragen aan gedeputeerde staten van de provincie waar het project geheel of in hoofdzaak wordt uitgevoerd, als gedeputeerde staten daarmee instemmen.</w:t>
            </w:r>
          </w:p>
        </w:tc>
      </w:tr>
      <w:tr w:rsidR="00E33EDD" w:rsidRPr="002D2D4E" w14:paraId="0989B280" w14:textId="77777777" w:rsidTr="00FE59B9">
        <w:tc>
          <w:tcPr>
            <w:tcW w:w="1499" w:type="pct"/>
          </w:tcPr>
          <w:p w14:paraId="4F56FFF4" w14:textId="07A8FF97" w:rsidR="00E33EDD" w:rsidRPr="002D2D4E" w:rsidRDefault="00076C60" w:rsidP="00D00483">
            <w:r w:rsidRPr="002D2D4E">
              <w:t>Voorbereidingsbesluit</w:t>
            </w:r>
          </w:p>
        </w:tc>
        <w:tc>
          <w:tcPr>
            <w:tcW w:w="1168" w:type="pct"/>
          </w:tcPr>
          <w:p w14:paraId="5CF26CA3" w14:textId="63B7D4ED" w:rsidR="00E33EDD" w:rsidRPr="002D2D4E" w:rsidRDefault="0042458A" w:rsidP="00D00483">
            <w:r w:rsidRPr="002D2D4E">
              <w:t>art. 4.16 Ow</w:t>
            </w:r>
          </w:p>
        </w:tc>
        <w:tc>
          <w:tcPr>
            <w:tcW w:w="2333" w:type="pct"/>
          </w:tcPr>
          <w:p w14:paraId="5B3E8BE5" w14:textId="6F5DF565" w:rsidR="00E33EDD" w:rsidRPr="002D2D4E" w:rsidRDefault="000F4F20" w:rsidP="00D00483">
            <w:r w:rsidRPr="002D2D4E">
              <w:t>Met het oog op de voorbereiding van een projectbesluit kunnen provinciale staten respectievelijk de minister een voorbereidingsbesluit nemen.</w:t>
            </w:r>
          </w:p>
        </w:tc>
      </w:tr>
      <w:tr w:rsidR="00E33EDD" w:rsidRPr="002D2D4E" w14:paraId="3F207EEE" w14:textId="77777777" w:rsidTr="00FE59B9">
        <w:tc>
          <w:tcPr>
            <w:tcW w:w="1499" w:type="pct"/>
          </w:tcPr>
          <w:p w14:paraId="029197F8" w14:textId="69AFDFA4" w:rsidR="00E33EDD" w:rsidRPr="002D2D4E" w:rsidRDefault="00A534E6" w:rsidP="00D00483">
            <w:r w:rsidRPr="002D2D4E">
              <w:lastRenderedPageBreak/>
              <w:t>Projectbesluit door waterschap</w:t>
            </w:r>
          </w:p>
        </w:tc>
        <w:tc>
          <w:tcPr>
            <w:tcW w:w="1168" w:type="pct"/>
          </w:tcPr>
          <w:p w14:paraId="267FB2CD" w14:textId="74F7C4CD" w:rsidR="00E33EDD" w:rsidRPr="002D2D4E" w:rsidRDefault="009D529A" w:rsidP="00D00483">
            <w:r w:rsidRPr="002D2D4E">
              <w:t>art. 5.53a lid 1 Ow</w:t>
            </w:r>
          </w:p>
        </w:tc>
        <w:tc>
          <w:tcPr>
            <w:tcW w:w="2333" w:type="pct"/>
          </w:tcPr>
          <w:p w14:paraId="381F890E" w14:textId="334CEFE2" w:rsidR="001B0D21" w:rsidRPr="002D2D4E" w:rsidRDefault="001B0D21" w:rsidP="001B0D21">
            <w:r w:rsidRPr="002D2D4E">
              <w:t>In een projectbesluit dat wordt vastgesteld door het dagelijks bestuur van een waterschap mogen geen regels worden gesteld die in strijd zijn met regels die op grond van een projectbesluit of een voorbereidingsbesluit van een bestuursorgaan van de provincie of het Rijk in het omgevingsplan zijn opgenomen.</w:t>
            </w:r>
          </w:p>
          <w:p w14:paraId="0BFB34AD" w14:textId="4E7EB91C" w:rsidR="00E33EDD" w:rsidRPr="002D2D4E" w:rsidRDefault="001B0D21" w:rsidP="001B0D21">
            <w:r w:rsidRPr="002D2D4E">
              <w:t>Uitzondering daarop vormen de gevallen waarin instructieregels dan wel instructies van Rijk respectievelijk provincie daartoe nopen.</w:t>
            </w:r>
          </w:p>
        </w:tc>
      </w:tr>
      <w:tr w:rsidR="00E33EDD" w:rsidRPr="002D2D4E" w14:paraId="5DC128E4" w14:textId="77777777" w:rsidTr="00FE59B9">
        <w:tc>
          <w:tcPr>
            <w:tcW w:w="1499" w:type="pct"/>
          </w:tcPr>
          <w:p w14:paraId="5CB23F22" w14:textId="040EB0C5" w:rsidR="00E33EDD" w:rsidRPr="002D2D4E" w:rsidRDefault="00EA46E7" w:rsidP="00EA46E7">
            <w:pPr>
              <w:tabs>
                <w:tab w:val="left" w:pos="753"/>
              </w:tabs>
            </w:pPr>
            <w:r w:rsidRPr="002D2D4E">
              <w:t>Projectbesluit door provincie</w:t>
            </w:r>
          </w:p>
        </w:tc>
        <w:tc>
          <w:tcPr>
            <w:tcW w:w="1168" w:type="pct"/>
          </w:tcPr>
          <w:p w14:paraId="3D2CF0EA" w14:textId="61DD0799" w:rsidR="00E33EDD" w:rsidRPr="002D2D4E" w:rsidRDefault="00F708A1" w:rsidP="00D00483">
            <w:r w:rsidRPr="002D2D4E">
              <w:t>art. 5.53a lid 2 Ow</w:t>
            </w:r>
          </w:p>
        </w:tc>
        <w:tc>
          <w:tcPr>
            <w:tcW w:w="2333" w:type="pct"/>
          </w:tcPr>
          <w:p w14:paraId="00231AA0" w14:textId="1803AC38" w:rsidR="00E33EDD" w:rsidRPr="002D2D4E" w:rsidRDefault="00887386" w:rsidP="00D00483">
            <w:r w:rsidRPr="002D2D4E">
              <w:t>In een projectbesluit dat wordt vastgesteld door gedeputeerde staten mogen geen regels worden gesteld die in strijd zijn met regels die op grond van een projectbesluit of een voorbereidingsbesluit van het Rijk in het omgevingsplan zijn opgenomen.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