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08B3B" w14:textId="77777777" w:rsidR="002F7EF7" w:rsidRPr="002D2D4E" w:rsidRDefault="001E75DC" w:rsidP="002F7EF7">
      <w:pPr>
        <w:pStyle w:val="Kop5"/>
      </w:pPr>
      <w:r w:rsidRPr="002D2D4E">
        <w:t>Toelichting op de toepassing</w:t>
      </w:r>
    </w:p>
    <w:p w14:paraId="4CBA2EB3" w14:textId="6493C19B" w:rsidR="002F7EF7" w:rsidRPr="002D2D4E" w:rsidRDefault="001E75DC" w:rsidP="002F7EF7">
      <w:r w:rsidRPr="002D2D4E">
        <w:t xml:space="preserve">Tekstdeel is een conceptuele constructie, die in IMOW wordt gebruikt om onderdelen van een Divisie in het lichaam van omgevingsdocumenten met Vrijetekststructuur een eigen Locatie </w:t>
      </w:r>
      <w:r w:rsidRPr="002D2D4E">
        <w:lastRenderedPageBreak/>
        <w:t xml:space="preserve">te kunnen geven. Ook maakt Tekstdeel het mogelijk om verschillende onderdelen van een Divisie een eigen thema te geven en/of te annoteren met verschillende </w:t>
      </w:r>
      <w:r w:rsidR="002F4472" w:rsidRPr="002D2D4E">
        <w:t xml:space="preserve">domeinspecifieke </w:t>
      </w:r>
      <w:r w:rsidRPr="002D2D4E">
        <w:t>annotaties van het objecttype Gebiedsaanwijzing. Tekstdeel is altijd onderdeel van een Divisie en een Divisie kan meerdere Tekstdelen bevatten. Voor Tekstdeel geldt, net als voor Divisie, dat het alleen gebruikt kan worden in het lichaam van omgevingsdocumenten met Vrijetekststructuur.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