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B266" w14:textId="06802DC8" w:rsidR="002F7EF7" w:rsidRPr="002D2D4E" w:rsidRDefault="001E75DC" w:rsidP="002F7EF7">
      <w:pPr>
        <w:pStyle w:val="Kop5"/>
      </w:pPr>
      <w:r w:rsidRPr="002D2D4E">
        <w:t>Doel</w:t>
      </w:r>
    </w:p>
    <w:p w14:paraId="7E69080D" w14:textId="7C687362" w:rsidR="002F7EF7" w:rsidRPr="002D2D4E" w:rsidRDefault="001E75DC" w:rsidP="002F7EF7">
      <w:r w:rsidRPr="002D2D4E">
        <w:t>Doel van het objecttype Defensie is:</w:t>
      </w:r>
    </w:p>
    <w:p w14:paraId="7EFD3EC6" w14:textId="522D35E0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het aspect defensie;</w:t>
      </w:r>
    </w:p>
    <w:p w14:paraId="545E25D8" w14:textId="4ED852A3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aspect defensie gelden;</w:t>
      </w:r>
    </w:p>
    <w:p w14:paraId="07204572" w14:textId="5CCA910F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