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2F7EF7" w:rsidRPr="002D2D4E" w:rsidRDefault="001E75DC" w:rsidP="002F7EF7">
      <w:pPr>
        <w:pStyle w:val="Kop5"/>
      </w:pPr>
      <w:r w:rsidRPr="002D2D4E">
        <w:t>Doel</w:t>
      </w:r>
    </w:p>
    <w:p w14:paraId="3F515BFB" w14:textId="625AD51C" w:rsidR="002F7EF7" w:rsidRPr="002D2D4E" w:rsidRDefault="001E75DC" w:rsidP="002F7EF7">
      <w:r w:rsidRPr="002D2D4E">
        <w:t>Doel van het objecttype Energievoorziening is:</w:t>
      </w:r>
    </w:p>
    <w:p w14:paraId="68D443B8" w14:textId="494FA5BA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energievoorziening;</w:t>
      </w:r>
    </w:p>
    <w:p w14:paraId="3236CAC4" w14:textId="795BAAF9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energievoorziening gelden;</w:t>
      </w:r>
    </w:p>
    <w:p w14:paraId="2A383E94" w14:textId="441DD9A9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