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A6B" w14:textId="68CFAD65" w:rsidR="002F7EF7" w:rsidRPr="002D2D4E" w:rsidRDefault="001E75DC" w:rsidP="002F7EF7">
      <w:pPr>
        <w:pStyle w:val="Kop5"/>
      </w:pPr>
      <w:r w:rsidRPr="002D2D4E">
        <w:t>Doel</w:t>
      </w:r>
    </w:p>
    <w:p w14:paraId="023BE2A6" w14:textId="30E88097" w:rsidR="002F7EF7" w:rsidRPr="002D2D4E" w:rsidRDefault="001E75DC" w:rsidP="002F7EF7">
      <w:r w:rsidRPr="002D2D4E">
        <w:t>Doel van het objecttype Erfgoed is:</w:t>
      </w:r>
    </w:p>
    <w:p w14:paraId="41F37283" w14:textId="3D2CCD25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erfgoed;</w:t>
      </w:r>
    </w:p>
    <w:p w14:paraId="337CF23E" w14:textId="3AD15BC0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erfgoed gelden;</w:t>
      </w:r>
    </w:p>
    <w:p w14:paraId="62D3DEE0" w14:textId="2204C642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