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2F7EF7" w:rsidRPr="002D2D4E" w:rsidRDefault="001E75DC" w:rsidP="002F7EF7">
      <w:pPr>
        <w:pStyle w:val="Kop5"/>
      </w:pPr>
      <w:r w:rsidRPr="002D2D4E">
        <w:t>Doel</w:t>
      </w:r>
    </w:p>
    <w:p w14:paraId="4C23830C" w14:textId="3D8CBC67" w:rsidR="002F7EF7" w:rsidRPr="002D2D4E" w:rsidRDefault="001E75DC" w:rsidP="002F7EF7">
      <w:r w:rsidRPr="002D2D4E">
        <w:t>Doel van het objecttype Lucht is:</w:t>
      </w:r>
    </w:p>
    <w:p w14:paraId="78F4DF89" w14:textId="75F202A9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lucht;</w:t>
      </w:r>
    </w:p>
    <w:p w14:paraId="65307EC2" w14:textId="5A297C03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lucht gelden;</w:t>
      </w:r>
    </w:p>
    <w:p w14:paraId="39AE2B0E" w14:textId="5B25CC52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