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BB2C1D" w:rsidRPr="00D368CB" w:rsidRDefault="00644A93" w:rsidP="00BB2C1D">
      <w:pPr>
        <w:pStyle w:val="Kop5"/>
      </w:pPr>
      <w:r w:rsidRPr="00D368CB">
        <w:t>Raadplegen in DSO-LV</w:t>
      </w:r>
    </w:p>
    <w:p w14:paraId="4CA800A1" w14:textId="03EF6461" w:rsidR="00BB2C1D" w:rsidRPr="00D368CB" w:rsidRDefault="00644A93" w:rsidP="00BB2C1D">
      <w:r w:rsidRPr="00D368CB">
        <w:t>DSO-LV ontvangt de geconsolideerde regeling met de IMOW-objecten.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locaties. De getoonde tekst komt uit de geconsolideerde Regelingen vanuit de officiële publicatiebladen.</w:t>
      </w:r>
    </w:p>
    <w:p w14:paraId="642CEFC3" w14:textId="77777777" w:rsidR="00BB2C1D" w:rsidRPr="00D368CB" w:rsidRDefault="00644A93" w:rsidP="00BB2C1D">
      <w:r w:rsidRPr="00D368CB">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