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0A4B" w14:textId="5657420E" w:rsidR="00A240F0" w:rsidRDefault="00A240F0" w:rsidP="00A240F0">
      <w:pPr>
        <w:pStyle w:val="Kop3"/>
      </w:pPr>
      <w:r>
        <w:t>De actuele geldende versie van het programma</w:t>
      </w:r>
    </w:p>
    <w:p w14:paraId="550EB6E9" w14:textId="4FDBB6A6" w:rsidR="00A240F0" w:rsidRDefault="00A240F0" w:rsidP="00A240F0">
      <w:r>
        <w:t xml:space="preserve">De delen twee van alle opeenvolgende besluiten tot vaststelling of wijziging van het programma vormen samen het actueel geldende programma van het bevoegd gezag. </w:t>
      </w:r>
      <w:r w:rsidR="001F79A0" w:rsidRPr="001F79A0">
        <w:t>Het deel met vaststellingsdocumenten en motivering en eventueel daarbij behorende bijlagen maken daar geen deel van 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