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E4D0" w14:textId="5B4FDF29" w:rsidR="000B5A59" w:rsidRDefault="000B5A59" w:rsidP="000B5A59">
      <w:pPr>
        <w:pStyle w:val="Kop4"/>
      </w:pPr>
      <w:r>
        <w:t>Norm</w:t>
      </w:r>
    </w:p>
    <w:p w14:paraId="22311B5C" w14:textId="4866AD9B" w:rsidR="00FD0B90" w:rsidRPr="00FD0B90" w:rsidRDefault="00FD755D" w:rsidP="00601AD6">
      <w:r w:rsidRPr="00740218">
        <w:t xml:space="preserve">De Regeling van </w:t>
      </w:r>
      <w:r w:rsidR="006F3BA6">
        <w:fldChar w:fldCharType="begin"/>
      </w:r>
      <w:r w:rsidR="006F3BA6">
        <w:instrText xml:space="preserve"> DOCVARIABLE ID01+ </w:instrText>
      </w:r>
      <w:r w:rsidR="006F3BA6">
        <w:fldChar w:fldCharType="separate"/>
      </w:r>
      <w:r w:rsidR="001D3523">
        <w:t>het programma</w:t>
      </w:r>
      <w:r w:rsidR="006F3BA6">
        <w:fldChar w:fldCharType="end"/>
      </w:r>
      <w:r w:rsidRPr="00740218">
        <w:t xml:space="preserve"> moet een bijlage met namen en identificatiecodes van de geografische informatieobjecten bevatten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