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286CC" w14:textId="467B1A80" w:rsidR="0018116D" w:rsidRDefault="0018116D" w:rsidP="00793443">
      <w:pPr>
        <w:pStyle w:val="Kop4"/>
      </w:pPr>
      <w:r>
        <w:t>Procedurestatus van onderdelen van de Regeling</w:t>
      </w:r>
    </w:p>
    <w:p w14:paraId="3F9E972A" w14:textId="0762F7F5" w:rsidR="0019699B" w:rsidRDefault="0018116D" w:rsidP="00BB2C1D">
      <w:r>
        <w:t>Wanneer van een (wijzigings)besluit de inwerkingtredingsdatum bekend is, consolideert de LVBB het besluit in de Regeling en geeft de LVBB de nieuwe toestand van de geconsolideerde regeling door aan de regelingenbank op overheid.nl en aan DSO-LV. Diverse omgevingsdocumenten treden direct na het nemen van het besluit in werking en zijn dan ook direct onherroepelijk. Wijzigingsbesluiten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geografische informatieobjecten en IMOW-objecten. De (procedure)status moet dan in de regelingenbank en DSO-LV ook raadpleegbaar zijn. In een aantal gevallen dient het bevoegd gezag wijzigingen in de procedurestatus door te geven.</w:t>
      </w:r>
    </w:p>
    <w:p w14:paraId="7ACF1A63" w14:textId="7D025804" w:rsidR="00B66FA4" w:rsidRPr="00D368CB" w:rsidRDefault="00B66FA4" w:rsidP="00B66FA4">
      <w:pPr>
        <w:pStyle w:val="Kader"/>
      </w:pPr>
      <w:r>
        <w:rPr>
          <w:noProof/>
        </w:rPr>
        <mc:AlternateContent>
          <mc:Choice Requires="wps">
            <w:drawing>
              <wp:inline distT="0" distB="0" distL="0" distR="0" wp14:anchorId="5DF78956" wp14:editId="343A10EA">
                <wp:extent cx="5400040" cy="985631"/>
                <wp:effectExtent l="0" t="0" r="22860" b="22860"/>
                <wp:docPr id="18" name="Tekstvak 1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1C970CF" w14:textId="77777777" w:rsidR="00B66FA4" w:rsidRPr="00D80A79" w:rsidRDefault="00B66FA4" w:rsidP="00B66FA4">
                            <w:pPr>
                              <w:rPr>
                                <w:b/>
                                <w:bCs/>
                              </w:rPr>
                            </w:pPr>
                            <w:r w:rsidRPr="00D80A79">
                              <w:rPr>
                                <w:b/>
                                <w:bCs/>
                              </w:rPr>
                              <w:t>Toekomstige functionaliteit</w:t>
                            </w:r>
                          </w:p>
                          <w:p w14:paraId="37F99628" w14:textId="77777777" w:rsidR="00B66FA4" w:rsidRPr="0022671B" w:rsidRDefault="00B66FA4" w:rsidP="00B66FA4">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DF78956" id="Tekstvak 18" o:spid="_x0000_s103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" filled="f" strokeweight=".5pt">
                <v:textbox style="mso-fit-shape-to-text:t">
                  <w:txbxContent>
                    <w:p w14:paraId="51C970CF" w14:textId="77777777" w:rsidR="00B66FA4" w:rsidRPr="00D80A79" w:rsidRDefault="00B66FA4" w:rsidP="00B66FA4">
                      <w:pPr>
                        <w:rPr>
                          <w:b/>
                          <w:bCs/>
                        </w:rPr>
                      </w:pPr>
                      <w:r w:rsidRPr="00D80A79">
                        <w:rPr>
                          <w:b/>
                          <w:bCs/>
                        </w:rPr>
                        <w:t>Toekomstige functionaliteit</w:t>
                      </w:r>
                    </w:p>
                    <w:p w14:paraId="37F99628" w14:textId="77777777" w:rsidR="00B66FA4" w:rsidRPr="0022671B" w:rsidRDefault="00B66FA4" w:rsidP="00B66FA4">
                      <w:r>
                        <w:t>Uitgewerkt wordt welke procedurestatussen nodig zijn, wanneer en op welke manier een bevoegd gezag gegevens over de procedurestatus moet doorgeven, in welke onderdelen en op welke manier de procedurestatus in de onderdelen van de regeling wordt verwerkt en op welke manier de procedurestatus van die onderdelen in DSO-LVB te raadplegen is.</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