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707C" w14:textId="24CB0EFB" w:rsidR="006B568D" w:rsidRDefault="007E2D0E" w:rsidP="006B568D">
      <w:pPr>
        <w:pStyle w:val="Kop5"/>
      </w:pPr>
      <w:bookmarkStart w:id="40" w:name="_Ref_59d390dcca28999d69ce92217b643864_1"/>
      <w:r>
        <w:t>Tonen en n</w:t>
      </w:r>
      <w:r w:rsidR="006970BD">
        <w:t xml:space="preserve">iet meer tonen </w:t>
      </w:r>
      <w:r w:rsidR="006B568D">
        <w:t xml:space="preserve">van het tijdelijk </w:t>
      </w:r>
      <w:r w:rsidRPr="007E2D0E">
        <w:t>regeling</w:t>
      </w:r>
      <w:r w:rsidR="006B568D">
        <w:t>dee</w:t>
      </w:r>
      <w:bookmarkEnd w:id="40"/>
      <w:r>
        <w:t>l met consolidatie-informatie</w:t>
      </w:r>
    </w:p>
    <w:p w14:paraId="4D6E2DA7" w14:textId="1262B253" w:rsidR="00B36ACA" w:rsidRDefault="00167FA6" w:rsidP="006B568D">
      <w:r>
        <w:t xml:space="preserve">Of </w:t>
      </w:r>
      <w:r w:rsidRPr="002400EC">
        <w:t xml:space="preserve">een tijdelijk regelingdeel </w:t>
      </w:r>
      <w:r>
        <w:t xml:space="preserve">wel of niet onderdeel is van de geconsolideerde regeling wordt geregeld met de consolidatie-informatie die het bevoegd gezag aan de LVBB aanlevert. </w:t>
      </w:r>
      <w:r w:rsidRPr="009635D7">
        <w:t xml:space="preserve">De LVBB gebruikt deze </w:t>
      </w:r>
      <w:r>
        <w:t xml:space="preserve">informatie </w:t>
      </w:r>
      <w:r w:rsidRPr="009635D7">
        <w:t>in het consolidatieproces, bij het bepalen van de geldigheid van de regels.</w:t>
      </w:r>
    </w:p>
    <w:p w14:paraId="51768133" w14:textId="16DA4EB7" w:rsidR="00742F9C" w:rsidRDefault="00742F9C" w:rsidP="00742F9C">
      <w:r>
        <w:t>Bij het aanleveren aan de LVBB ter bekendmaking van de reactieve interventie moeten GS consolidatie-informatie aanleveren over de inwerkingtreding van de reactieve interventie en het instellen van een tijdelijk regelingdeel</w:t>
      </w:r>
      <w:r w:rsidR="00B61987">
        <w:t>,</w:t>
      </w:r>
      <w:r>
        <w:t xml:space="preserve"> inclusief de datum van inwerkingtreden. Het gevolg hiervan is dat het tijdelijk regelingdeel wordt getoond op </w:t>
      </w:r>
      <w:r w:rsidR="00C97702">
        <w:t>overheid.nl</w:t>
      </w:r>
      <w:r>
        <w:t xml:space="preserve"> en in DSO-LV als onderdeel van de geconsolideerde regeling van het omgevingsplan.</w:t>
      </w:r>
    </w:p>
    <w:p w14:paraId="0227B0C5" w14:textId="0FF72657" w:rsidR="00002867" w:rsidRDefault="00742F9C" w:rsidP="00742F9C">
      <w:r>
        <w:t xml:space="preserve">Vervolgens is het de beurt aan de gemeente om de opdracht in de reactieve interventie uit te voeren en te zorgen voor verwerking van de reactieve interventie in (de hoofdregeling van) het omgevingsplan. De gemeente levert daartoe </w:t>
      </w:r>
      <w:r w:rsidR="004A5222">
        <w:t xml:space="preserve">de wijzigingsinstructies aan. Toekomstbeeld is </w:t>
      </w:r>
      <w:r w:rsidR="00274D8F">
        <w:t xml:space="preserve">dat de gemeente dat doet door </w:t>
      </w:r>
      <w:r w:rsidR="00274D8F" w:rsidRPr="00274D8F">
        <w:t>alleen een mutatiebericht</w:t>
      </w:r>
      <w:r w:rsidR="00274D8F">
        <w:t xml:space="preserve"> aan te leveren</w:t>
      </w:r>
      <w:r w:rsidR="00274D8F" w:rsidRPr="00274D8F">
        <w:t>, dus zonder gelijktijdige aanlevering van een besluit.</w:t>
      </w:r>
      <w:r w:rsidR="00002867">
        <w:t xml:space="preserve"> </w:t>
      </w:r>
      <w:r>
        <w:t xml:space="preserve">De gemeente neemt immers geen besluit maar voert de opdracht uit. </w:t>
      </w:r>
      <w:r w:rsidR="00002867" w:rsidRPr="00002867">
        <w:t xml:space="preserve">Vooralsnog is het niet mogelijk om wijzigingsinstructies voor een omgevingdocument aan te leveren zonder gelijktijdige aanlevering van een besluit. Daarom moet de gemeente </w:t>
      </w:r>
      <w:r w:rsidR="00646EFB" w:rsidRPr="00646EFB">
        <w:t xml:space="preserve">voorlopig </w:t>
      </w:r>
      <w:r w:rsidR="00002867" w:rsidRPr="00002867">
        <w:t>de wijzigingsinstructies met een besluit aanleveren. In dat ‘besluit’ moet worden aangegeven dat het niet een echt besluit betreft, maar een aanlevering ten behoeve van het uitvoeren van de reactieve interventie van gedeputeerde staten.</w:t>
      </w:r>
    </w:p>
    <w:p w14:paraId="5DAC7EAD" w14:textId="08972D71" w:rsidR="005A7484" w:rsidRDefault="00742F9C" w:rsidP="00742F9C">
      <w:r>
        <w:t xml:space="preserve">Gevolg van die aanlevering is dat op </w:t>
      </w:r>
      <w:r w:rsidR="00C97702">
        <w:t>overheid.nl</w:t>
      </w:r>
      <w:r>
        <w:t xml:space="preserve"> en in DSO-LV de aangepaste versie van de hoofdregeling wordt getoond. Doordat de reactieve interventie is verwerkt, is het tijdelijk </w:t>
      </w:r>
      <w:r>
        <w:lastRenderedPageBreak/>
        <w:t xml:space="preserve">regelingdeel behorend bij die reactieve interventie niet meer nodig en moet het niet meer getoond worden. </w:t>
      </w:r>
      <w:r w:rsidR="00A32C43">
        <w:t>Samen met</w:t>
      </w:r>
      <w:r w:rsidR="00EE7B60">
        <w:t xml:space="preserve"> </w:t>
      </w:r>
      <w:r w:rsidR="00D30A33">
        <w:t xml:space="preserve">de wijzigingsinstructies </w:t>
      </w:r>
      <w:r w:rsidR="00D169BB">
        <w:t xml:space="preserve">levert </w:t>
      </w:r>
      <w:r>
        <w:t xml:space="preserve">de gemeente daarom, zoals in de vorige paragraaf in de procesbeschrijving al is aangegeven, de consolidatie-informatie over de intrekking van het tijdelijk regelingdeel aan, inclusief de datum waarop het tijdelijk regelingdeel wordt ingetrokken, te weten de datum waarop de gemeente </w:t>
      </w:r>
      <w:r w:rsidR="0042205A" w:rsidRPr="0042205A">
        <w:t>de wijzigingsinstructies</w:t>
      </w:r>
      <w:r w:rsidR="0042205A" w:rsidRPr="0042205A" w:rsidDel="0042205A">
        <w:t xml:space="preserve"> </w:t>
      </w:r>
      <w:r>
        <w:t>heeft aangeleverd.</w:t>
      </w:r>
      <w:r w:rsidR="0074533C">
        <w:t xml:space="preserve"> </w:t>
      </w:r>
      <w:r w:rsidR="005A7484" w:rsidRPr="005A7484">
        <w:t xml:space="preserve">Naar aanleiding van de consolidatie-informatie over het </w:t>
      </w:r>
      <w:r w:rsidR="0074533C">
        <w:t>intrekken</w:t>
      </w:r>
      <w:r w:rsidR="005A7484" w:rsidRPr="005A7484">
        <w:t xml:space="preserve"> van het tijdelijk regelingdeel zorgt de LVBB er voor dat het tijdelijk regelingdeel op overheid.nl niet meer getoond wordt. Deze informatie wordt doorgegeven zodat ook DSO-LV het tijdelijk regelingdeel niet meer toont.</w:t>
      </w:r>
    </w:p>
    <w:p w14:paraId="1B68C097" w14:textId="67B48022" w:rsidR="00167FA6" w:rsidRDefault="00167FA6" w:rsidP="006B568D">
      <w:r>
        <w:t xml:space="preserve">Een meer technische uitwerking van de consolidatie-informatie wordt gegeven in paragraaf </w:t>
      </w:r>
      <w:r w:rsidR="00C47931" w:rsidRPr="00B36ACA">
        <w:rPr>
          <w:rStyle w:val="Verwijzing"/>
        </w:rPr>
        <w:fldChar w:fldCharType="begin"/>
      </w:r>
      <w:r w:rsidR="00C47931" w:rsidRPr="00B36ACA">
        <w:rPr>
          <w:rStyle w:val="Verwijzing"/>
        </w:rPr>
        <w:instrText xml:space="preserve"> REF _Ref_a085cd131ec32efa912d36608fe79eb3_1</w:instrText>
      </w:r>
      <w:r w:rsidR="001A327F" w:rsidRPr="00B36ACA">
        <w:rPr>
          <w:rStyle w:val="Verwijzing"/>
        </w:rPr>
        <w:instrText>\n \h</w:instrText>
      </w:r>
      <w:r w:rsidR="00C47931" w:rsidRPr="00B36ACA">
        <w:rPr>
          <w:rStyle w:val="Verwijzing"/>
        </w:rPr>
        <w:instrText xml:space="preserve"> </w:instrText>
      </w:r>
      <w:r w:rsidR="00C47931" w:rsidRPr="00B36ACA">
        <w:rPr>
          <w:rStyle w:val="Verwijzing"/>
        </w:rPr>
      </w:r>
      <w:r w:rsidR="00C47931" w:rsidRPr="00B36ACA">
        <w:rPr>
          <w:rStyle w:val="Verwijzing"/>
        </w:rPr>
        <w:fldChar w:fldCharType="separate"/>
      </w:r>
      <w:r w:rsidR="003E5406" w:rsidRPr="00B36ACA">
        <w:rPr>
          <w:rStyle w:val="Verwijzing"/>
        </w:rPr>
        <w:t>7.1.2</w:t>
      </w:r>
      <w:r w:rsidR="00C47931" w:rsidRPr="00B36ACA">
        <w:rPr>
          <w:rStyle w:val="Verwijzing"/>
        </w:rPr>
        <w:fldChar w:fldCharType="end"/>
      </w:r>
      <w:r>
        <w:t>.</w:t>
      </w:r>
    </w:p>
    <w:p w14:paraId="782CA265" w14:textId="4E2ABEE1" w:rsidR="00CE679F" w:rsidRDefault="0031308C" w:rsidP="00124498">
      <w:pPr>
        <w:pStyle w:val="Kader"/>
      </w:pPr>
      <w:r>
        <w:rPr>
          <w:noProof/>
        </w:rPr>
        <mc:AlternateContent>
          <mc:Choice Requires="wps">
            <w:drawing>
              <wp:inline distT="0" distB="0" distL="0" distR="0" wp14:anchorId="58E998B3" wp14:editId="0E3F1815">
                <wp:extent cx="1828800" cy="1828800"/>
                <wp:effectExtent l="0" t="0" r="22860" b="16510"/>
                <wp:docPr id="7" name="Tekstvak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40C7EFC" w14:textId="77777777" w:rsidR="0031308C" w:rsidRPr="0031308C" w:rsidRDefault="0031308C" w:rsidP="00CE679F">
                            <w:pPr>
                              <w:rPr>
                                <w:b/>
                                <w:bCs/>
                              </w:rPr>
                            </w:pPr>
                            <w:r w:rsidRPr="0031308C">
                              <w:rPr>
                                <w:b/>
                                <w:bCs/>
                              </w:rPr>
                              <w:t>Toekomstige functionaliteit</w:t>
                            </w:r>
                          </w:p>
                          <w:p w14:paraId="4E708853" w14:textId="53FCA121" w:rsidR="0031308C" w:rsidRPr="00574117" w:rsidRDefault="000C31FE" w:rsidP="00574117">
                            <w:r w:rsidRPr="000C31FE">
                              <w:t>De gemeente dient de wijzigingsinstructies aan te leveren die zorgen voor een nieuwe Regelingversie van het omgevingsplan waarin de reactieve interventie is verwerkt. Toekomstbeeld is dat de gemeente dat doet 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E998B3" id="Tekstvak 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8vPwIAAH8EAAAOAAAAZHJzL2Uyb0RvYy54bWysVFFv2jAQfp+0/2D5fSQwWmhEqBgV0yTU&#10;VoKpz8ZxSITts2xDwn79zg6hqNvTtBfnzvf57Pu+u8weWyXJSVhXg87pcJBSIjSHotb7nP7crr5M&#10;KXGe6YJJ0CKnZ+Ho4/zzp1ljMjGCCmQhLMEk2mWNyWnlvcmSxPFKKOYGYITGYAlWMY+u3SeFZQ1m&#10;VzIZpel90oAtjAUunMPdpy5I5zF/WQruX8rSCU9kTvFtPq42rruwJvMZy/aWmarml2ewf3iFYrXG&#10;S6+pnphn5GjrP1KpmltwUPoBB5VAWdZcxBqwmmH6oZpNxYyItSA5zlxpcv8vLX8+vVpSFzmdUKKZ&#10;Qom24uD8iR3IJLDTGJchaGMQ5ttv0KLK/b7DzVB0W1oVvlgOwTjyfL5yK1pPeDg0HU2nKYY4xnoH&#10;8yfvx411/rsARYKRU4viRU7Zae18B+0h4TYNq1rKKKDUpMnp/de7NB5wIOsiBAMsHFlKS04MW2An&#10;GT+E5+O1Nyj0pMbNUGxXVLB8u2sjNdeCd1CckQcLXR85w1c1pl8z51+ZxcbB+nAY/AsupQR8E1ws&#10;Siqwv/62H/CoJ0YpabARc6pxUiiRPzTq/DAcj0PfRmd8NxmhY28ju9uIPqolYJlDHDrDoxnwXvZm&#10;aUG94cQswp0YYprjzTn1vbn03XDgxHGxWEQQdqphfq03hofUPanb9o1ZcxHLo87P0Dcsyz5o1mHD&#10;SWcWR4/KRUEDyx2nF/Kxy6M2l4kMY3TrR9T7f2P+Gw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caaPLz8CAAB/BAAADgAAAAAAAAAA&#10;AAAAAAAuAgAAZHJzL2Uyb0RvYy54bWxQSwECLQAUAAYACAAAACEAtwwDCNcAAAAFAQAADwAAAAAA&#10;AAAAAAAAAACZBAAAZHJzL2Rvd25yZXYueG1sUEsFBgAAAAAEAAQA8wAAAJ0FAAAAAA==&#10;" filled="f" strokeweight=".5pt">
                <v:textbox style="mso-fit-shape-to-text:t">
                  <w:txbxContent>
                    <w:p w14:paraId="640C7EFC" w14:textId="77777777" w:rsidR="0031308C" w:rsidRPr="0031308C" w:rsidRDefault="0031308C" w:rsidP="00CE679F">
                      <w:pPr>
                        <w:rPr>
                          <w:b/>
                          <w:bCs/>
                        </w:rPr>
                      </w:pPr>
                      <w:r w:rsidRPr="0031308C">
                        <w:rPr>
                          <w:b/>
                          <w:bCs/>
                        </w:rPr>
                        <w:t>Toekomstige functionaliteit</w:t>
                      </w:r>
                    </w:p>
                    <w:p w14:paraId="4E708853" w14:textId="53FCA121" w:rsidR="0031308C" w:rsidRPr="00574117" w:rsidRDefault="000C31FE" w:rsidP="00574117">
                      <w:r w:rsidRPr="000C31FE">
                        <w:t>De gemeente dient de wijzigingsinstructies aan te leveren die zorgen voor een nieuwe Regelingversie van het omgevingsplan waarin de reactieve interventie is verwerkt. Toekomstbeeld is dat de gemeente dat doet 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