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2496" w14:textId="77777777" w:rsidR="007E76A1" w:rsidRDefault="007E76A1" w:rsidP="007E76A1">
      <w:pPr>
        <w:pStyle w:val="Kop3"/>
      </w:pPr>
      <w:r>
        <w:t>Annoteren wanneer een deel van norm of beleid in een bijlage staat</w:t>
      </w:r>
    </w:p>
    <w:p w14:paraId="455B70DF" w14:textId="77777777" w:rsidR="007E76A1" w:rsidRDefault="007E76A1" w:rsidP="007E76A1">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600607CE" w14:textId="77777777" w:rsidR="007E76A1" w:rsidRDefault="007E76A1" w:rsidP="007E76A1">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62666025" w14:textId="77777777" w:rsidR="007E76A1" w:rsidRDefault="007E76A1" w:rsidP="007E76A1"/>
    <w:p w14:paraId="0C836461" w14:textId="77777777" w:rsidR="007E76A1" w:rsidRDefault="007E76A1" w:rsidP="007E76A1">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t>
      </w:r>
      <w:r>
        <w:lastRenderedPageBreak/>
        <w:t xml:space="preserve">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50804BF7" w14:textId="27AE9729" w:rsidR="007E76A1" w:rsidRPr="00EB0E3A" w:rsidRDefault="007E76A1" w:rsidP="007E76A1">
      <w:r>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