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6D74B" w14:textId="5BCC7AA2" w:rsidR="00783F98" w:rsidRDefault="007A3A31" w:rsidP="00366D94">
      <w:pPr>
        <w:pStyle w:val="Kop4"/>
      </w:pPr>
      <w:r>
        <w:t>Procedurestatus van onderdelen van de Regeling</w:t>
      </w:r>
    </w:p>
    <w:p w14:paraId="1AE692B4" w14:textId="7B08348B" w:rsidR="00B36ACA" w:rsidRDefault="007B63F5" w:rsidP="007A3A31">
      <w:r>
        <w:t xml:space="preserve">Wanneer van een </w:t>
      </w:r>
      <w:r w:rsidR="00ED33D7">
        <w:t>(</w:t>
      </w:r>
      <w:r>
        <w:t>wijzigings</w:t>
      </w:r>
      <w:r w:rsidR="00ED33D7">
        <w:t>)</w:t>
      </w:r>
      <w:r>
        <w:t>besluit de inwerkingtredingsdatum bekend is, consolideert de LVBB het besluit in de Regeling</w:t>
      </w:r>
      <w:r w:rsidR="006335EF">
        <w:t xml:space="preserve"> en geeft de LVBB de nieuwe toestand van de geconsolideerde regeling door aan de regelingenbank op </w:t>
      </w:r>
      <w:r w:rsidR="00C97702">
        <w:t>overheid.nl</w:t>
      </w:r>
      <w:r w:rsidR="006335EF">
        <w:t xml:space="preserve"> en aan DSO-LV. </w:t>
      </w:r>
      <w:r w:rsidR="00E96168">
        <w:t>Diverse omgevingsdocumenten</w:t>
      </w:r>
      <w:r w:rsidR="002A59BA">
        <w:t xml:space="preserve"> treden direct na het nemen van het besluit in werking en zijn dan ook direct onherroepelijk. </w:t>
      </w:r>
      <w:r w:rsidR="003412CD">
        <w:t>W</w:t>
      </w:r>
      <w:r w:rsidR="00EC73D2" w:rsidRPr="00EC73D2">
        <w:t>ijzigingsbesluit</w:t>
      </w:r>
      <w:r w:rsidR="00EC73D2">
        <w:t>en</w:t>
      </w:r>
      <w:r w:rsidR="00EC73D2" w:rsidRPr="00EC73D2">
        <w:t xml:space="preserve"> </w:t>
      </w:r>
      <w:r w:rsidR="00E27226" w:rsidRPr="00E27226">
        <w:t xml:space="preserve">waartegen beroep kan worden ingesteld </w:t>
      </w:r>
      <w:r w:rsidR="00EC73D2">
        <w:t xml:space="preserve">worden </w:t>
      </w:r>
      <w:r w:rsidR="00C913B7">
        <w:t xml:space="preserve">geconsolideerd terwijl nog niet zeker is of </w:t>
      </w:r>
      <w:r w:rsidR="003412CD">
        <w:t>ze</w:t>
      </w:r>
      <w:r w:rsidR="00C913B7">
        <w:t xml:space="preserve"> (geheel of gedeeltelijk) blijvend onderdeel van het omgevingsd</w:t>
      </w:r>
      <w:r w:rsidR="00E74FA9">
        <w:t xml:space="preserve">ocument uitmaken. </w:t>
      </w:r>
      <w:r w:rsidR="00683583">
        <w:t xml:space="preserve">Voor </w:t>
      </w:r>
      <w:r w:rsidR="00E74FA9">
        <w:t xml:space="preserve">een raadpleger van de geconsolideerde regeling </w:t>
      </w:r>
      <w:r w:rsidR="00683583">
        <w:t>is het van belang om van ieder onderdeel van de regeling te weten wat de status daarvan is</w:t>
      </w:r>
      <w:r w:rsidR="00770BE7">
        <w:t xml:space="preserve"> om te kunnen bepalen welke rechten en verplichtingen zij/hij daaraan kan ontlenen</w:t>
      </w:r>
      <w:r w:rsidR="00683583">
        <w:t xml:space="preserve">. </w:t>
      </w:r>
      <w:r w:rsidR="000726F1">
        <w:t>Dat geldt voor alle tekstonderdelen, geografische informatieobjecten en IMOW-objecten.</w:t>
      </w:r>
      <w:r w:rsidR="00A2215A">
        <w:t xml:space="preserve"> </w:t>
      </w:r>
      <w:r w:rsidR="005D193E">
        <w:t xml:space="preserve">De </w:t>
      </w:r>
      <w:r w:rsidR="00181771">
        <w:t>(</w:t>
      </w:r>
      <w:r w:rsidR="005D193E">
        <w:t>procedure</w:t>
      </w:r>
      <w:r w:rsidR="00181771">
        <w:t>)</w:t>
      </w:r>
      <w:r w:rsidR="005D193E">
        <w:t xml:space="preserve">status moet </w:t>
      </w:r>
      <w:r w:rsidR="00673442">
        <w:t xml:space="preserve">dan in de regelingenbank en DSO-LV ook raadpleegbaar zijn. </w:t>
      </w:r>
      <w:r w:rsidR="0068461B">
        <w:t xml:space="preserve">In een aantal gevallen dient het bevoegd gezag </w:t>
      </w:r>
      <w:r w:rsidR="00130A35">
        <w:t>wijziging</w:t>
      </w:r>
      <w:r w:rsidR="00DB5FED">
        <w:t>en</w:t>
      </w:r>
      <w:r w:rsidR="00130A35">
        <w:t xml:space="preserve"> </w:t>
      </w:r>
      <w:r w:rsidR="00DB5FED">
        <w:t>i</w:t>
      </w:r>
      <w:r w:rsidR="00130A35">
        <w:t>n de procedurestatus door te geven.</w:t>
      </w:r>
    </w:p>
    <w:p w14:paraId="5C3E8A85" w14:textId="77777777" w:rsidR="00124498" w:rsidRDefault="004307FB" w:rsidP="00124498">
      <w:pPr>
        <w:pStyle w:val="Kader"/>
      </w:pPr>
      <w:r>
        <w:rPr>
          <w:noProof/>
        </w:rPr>
        <mc:AlternateContent>
          <mc:Choice Requires="wps">
            <w:drawing>
              <wp:inline distT="0" distB="0" distL="0" distR="0" wp14:anchorId="3E7B5F5F" wp14:editId="15DF3579">
                <wp:extent cx="1828800" cy="1828800"/>
                <wp:effectExtent l="0" t="0" r="22860" b="22860"/>
                <wp:docPr id="26" name="Tekstvak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97F526C" w14:textId="77777777" w:rsidR="004307FB" w:rsidRPr="00372F55" w:rsidRDefault="004307FB" w:rsidP="007A3A31">
                            <w:pPr>
                              <w:rPr>
                                <w:b/>
                                <w:bCs/>
                              </w:rPr>
                            </w:pPr>
                            <w:r w:rsidRPr="00372F55">
                              <w:rPr>
                                <w:b/>
                                <w:bCs/>
                              </w:rPr>
                              <w:t>Toekomstige functionaliteit</w:t>
                            </w:r>
                          </w:p>
                          <w:p w14:paraId="2489EBA7" w14:textId="77777777" w:rsidR="004307FB" w:rsidRPr="00007A3F" w:rsidRDefault="004307FB" w:rsidP="00007A3F">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E7B5F5F" id="Tekstvak 26" o:spid="_x0000_s1034"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Ow0xp5AAgAAgQQAAA4AAAAAAAAA&#10;AAAAAAAALgIAAGRycy9lMm9Eb2MueG1sUEsBAi0AFAAGAAgAAAAhALcMAwjXAAAABQEAAA8AAAAA&#10;AAAAAAAAAAAAmgQAAGRycy9kb3ducmV2LnhtbFBLBQYAAAAABAAEAPMAAACeBQAAAAA=&#10;" filled="f" strokeweight=".5pt">
                <v:textbox style="mso-fit-shape-to-text:t">
                  <w:txbxContent>
                    <w:p w14:paraId="797F526C" w14:textId="77777777" w:rsidR="004307FB" w:rsidRPr="00372F55" w:rsidRDefault="004307FB" w:rsidP="007A3A31">
                      <w:pPr>
                        <w:rPr>
                          <w:b/>
                          <w:bCs/>
                        </w:rPr>
                      </w:pPr>
                      <w:r w:rsidRPr="00372F55">
                        <w:rPr>
                          <w:b/>
                          <w:bCs/>
                        </w:rPr>
                        <w:t>Toekomstige functionaliteit</w:t>
                      </w:r>
                    </w:p>
                    <w:p w14:paraId="2489EBA7" w14:textId="77777777" w:rsidR="004307FB" w:rsidRPr="00007A3F" w:rsidRDefault="004307FB" w:rsidP="00007A3F">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