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FC93" w14:textId="2DECCAB5" w:rsidR="00E33EDD" w:rsidRPr="00F62F31" w:rsidRDefault="00EA6ACD" w:rsidP="0028106D">
      <w:pPr>
        <w:pStyle w:val="Kop4"/>
      </w:pPr>
      <w:r w:rsidRPr="00EA6ACD">
        <w:t>Beoogde werking van meervoudig bronhouderschap</w:t>
      </w:r>
    </w:p>
    <w:p w14:paraId="3E793652" w14:textId="631E9EF7" w:rsidR="00712F87" w:rsidRDefault="009C342E">
      <w:r w:rsidRPr="009C342E">
        <w:t xml:space="preserve">Zoals in de vorige paragraaf al is gezegd heeft de wetgever </w:t>
      </w:r>
      <w:r w:rsidR="003F5D8B">
        <w:fldChar w:fldCharType="begin"/>
      </w:r>
      <w:r w:rsidR="003F5D8B">
        <w:instrText xml:space="preserve"> DOCVARIABLE ID01+ </w:instrText>
      </w:r>
      <w:r w:rsidR="003F5D8B">
        <w:fldChar w:fldCharType="separate"/>
      </w:r>
      <w:r w:rsidR="00CD4A19">
        <w:t>het voorbereidingsbesluit</w:t>
      </w:r>
      <w:r w:rsidR="003F5D8B">
        <w:fldChar w:fldCharType="end"/>
      </w:r>
      <w:r w:rsidRPr="009C342E">
        <w:t xml:space="preserve"> zo bedoeld dat het nemen ervan tot gevolg heeft dat het de regels van een ander type omgevingsdocument, te weten het omgevingsplan respectievelijk de omgevingsverordening, wijzigt. Met een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rsidRPr="009C342E">
        <w:t xml:space="preserve"> op grond van artikel 4.14 of 4.15 Ow wijzigt het bestuursorgaan dat </w:t>
      </w:r>
      <w:r w:rsidR="003F5D8B">
        <w:fldChar w:fldCharType="begin"/>
      </w:r>
      <w:r w:rsidR="003F5D8B">
        <w:instrText xml:space="preserve"> DOCVARIABLE ID01+ </w:instrText>
      </w:r>
      <w:r w:rsidR="003F5D8B">
        <w:fldChar w:fldCharType="separate"/>
      </w:r>
      <w:r w:rsidR="00CD4A19">
        <w:t>het voorbereidingsbesluit</w:t>
      </w:r>
      <w:r w:rsidR="003F5D8B">
        <w:fldChar w:fldCharType="end"/>
      </w:r>
      <w:r w:rsidRPr="009C342E">
        <w:t xml:space="preserve"> neemt het eigen omgevingsplan of de eigen omgevingsverordening</w:t>
      </w:r>
      <w:r w:rsidR="00E10491">
        <w:t xml:space="preserve"> met voorbeschermingsregels</w:t>
      </w:r>
      <w:r w:rsidRPr="009C342E">
        <w:t xml:space="preserve">. Door een </w:t>
      </w:r>
      <w:r w:rsidR="003F5D8B">
        <w:fldChar w:fldCharType="begin"/>
      </w:r>
      <w:r w:rsidR="003F5D8B">
        <w:instrText xml:space="preserve"> DOCVARIABLE ID01 </w:instrText>
      </w:r>
      <w:r w:rsidR="003F5D8B">
        <w:fldChar w:fldCharType="separate"/>
      </w:r>
      <w:r w:rsidR="00CD4A19">
        <w:t>voorbereidingsbesluit</w:t>
      </w:r>
      <w:r w:rsidR="003F5D8B">
        <w:fldChar w:fldCharType="end"/>
      </w:r>
      <w:r w:rsidRPr="009C342E">
        <w:t xml:space="preserve"> op grond van artikel 4.16 Ow te nemen wijzigt het bestuursorgaan dat </w:t>
      </w:r>
      <w:r w:rsidR="003F5D8B">
        <w:fldChar w:fldCharType="begin"/>
      </w:r>
      <w:r w:rsidR="003F5D8B">
        <w:instrText xml:space="preserve"> DOCVARIABLE ID01+ </w:instrText>
      </w:r>
      <w:r w:rsidR="003F5D8B">
        <w:fldChar w:fldCharType="separate"/>
      </w:r>
      <w:r w:rsidR="00CD4A19">
        <w:t>het voorbereidingsbesluit</w:t>
      </w:r>
      <w:r w:rsidR="003F5D8B">
        <w:fldChar w:fldCharType="end"/>
      </w:r>
      <w:r w:rsidRPr="009C342E">
        <w:t xml:space="preserve"> neemt het omgevingsplan van de gemeente, dus van een ander bevoegd gezag</w:t>
      </w:r>
      <w:r w:rsidR="00D70738">
        <w:t xml:space="preserve">, </w:t>
      </w:r>
      <w:r w:rsidR="00D70738" w:rsidRPr="00D70738">
        <w:t>door er voorbeschermingsregels aan toe te voegen</w:t>
      </w:r>
      <w:r w:rsidRPr="009C342E">
        <w:t>.</w:t>
      </w:r>
    </w:p>
    <w:p w14:paraId="3302EAA8" w14:textId="4B25AFF2" w:rsidR="005725D2" w:rsidRDefault="00B847F9">
      <w:r w:rsidRPr="00B847F9">
        <w:t xml:space="preserve">Technisch uitgedrukt zijn er in het geval van voorbeschermingsregels op grond van artikel 4.16 Ow meerdere bronhouders die eenzelfde omgevingsdocument kunnen wijzigen. Dit wordt meervoudig bronhouderschap genoemd. In grote lijnen zou de technische uitwerking van het beoogde meervoudig bronhouderschap er op neerkomen dat het bestuursorgaan dat het voorbereidingsbesluit heeft genomen, tegelijk met het ter bekendmaking aan de LVBB aanleveren van het voorbereidingsbesluit ook het mutatiebericht oftewel de wijzigingsinstructie voor de verwerking van de voorbeschermingsregels in het omgevingsplan moet aanleveren. De LVBB </w:t>
      </w:r>
      <w:r w:rsidR="0060435C">
        <w:t xml:space="preserve">zou </w:t>
      </w:r>
      <w:r w:rsidRPr="00B847F9">
        <w:t>daarmee een nieuwe versie van de geconsolideerde regeling van het omgevingsplan</w:t>
      </w:r>
      <w:r w:rsidR="0060435C">
        <w:t xml:space="preserve"> kunnen </w:t>
      </w:r>
      <w:r w:rsidR="008C417E" w:rsidRPr="008C417E">
        <w:t>genereren</w:t>
      </w:r>
      <w:r w:rsidRPr="00B847F9">
        <w:t>. De betreffende gemeente zou vervolgens de nieuwe geconsolideerde regeling bij de LVBB moeten ophalen en in het eigen plansysteem in de eigen versie van het omgevingsplan importeren en verwerken.</w:t>
      </w:r>
    </w:p>
    <w:p w14:paraId="1546FA01" w14:textId="01197F3E" w:rsidR="00E838C3" w:rsidRDefault="00E838C3">
      <w:r>
        <w:t xml:space="preserve">Bij een voorbereidingsbesluit dat wordt genomen met het oog op de voorbereiding van een projectbesluit </w:t>
      </w:r>
      <w:r w:rsidR="00967D5C">
        <w:t>speelt het meervoudig bronhouderschap op twee momenten: bij het nemen van het voorbereidingsbesluit</w:t>
      </w:r>
      <w:r w:rsidR="00164032">
        <w:t xml:space="preserve"> </w:t>
      </w:r>
      <w:r w:rsidR="00834FD5">
        <w:t>é</w:t>
      </w:r>
      <w:r w:rsidR="00164032">
        <w:t xml:space="preserve">n bij het vaststellen van het </w:t>
      </w:r>
      <w:r w:rsidR="008C417E">
        <w:t xml:space="preserve">daarop volgende </w:t>
      </w:r>
      <w:r w:rsidR="00164032">
        <w:t>projectbesluit</w:t>
      </w:r>
      <w:r w:rsidR="00834FD5">
        <w:t>.</w:t>
      </w:r>
      <w:r w:rsidR="002C1C7F">
        <w:t xml:space="preserve"> </w:t>
      </w:r>
      <w:r w:rsidR="00834FD5">
        <w:t xml:space="preserve">Beide zijn </w:t>
      </w:r>
      <w:r w:rsidR="002C1C7F" w:rsidRPr="002C1C7F">
        <w:t xml:space="preserve">door de wetgever zo bedoeld dat </w:t>
      </w:r>
      <w:r w:rsidR="00834FD5">
        <w:t xml:space="preserve">ze </w:t>
      </w:r>
      <w:r w:rsidR="002C1C7F" w:rsidRPr="002C1C7F">
        <w:t>de regels van het omgevingsplan wijzig</w:t>
      </w:r>
      <w:r w:rsidR="00834FD5">
        <w:t>en</w:t>
      </w:r>
      <w:r w:rsidR="002C1C7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