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01B99" w14:textId="5DA02F34" w:rsidR="001F2C43" w:rsidRDefault="00AB41BB" w:rsidP="0028106D">
      <w:pPr>
        <w:pStyle w:val="Kop4"/>
      </w:pPr>
      <w:bookmarkStart w:id="28" w:name="_Ref_736a7d14f9c96d99fd6e232cbf3b8342_1"/>
      <w:r w:rsidRPr="00AB41BB">
        <w:t>Het concept '</w:t>
      </w:r>
      <w:r w:rsidR="0043570F">
        <w:t>tijdelijk regelingdeel</w:t>
      </w:r>
      <w:r w:rsidRPr="00AB41BB">
        <w:t>' als alternatie</w:t>
      </w:r>
      <w:r w:rsidR="00B0789E">
        <w:t>ve toepassing</w:t>
      </w:r>
      <w:r w:rsidRPr="00AB41BB">
        <w:t xml:space="preserve"> </w:t>
      </w:r>
      <w:r w:rsidR="00B0789E">
        <w:t xml:space="preserve">van </w:t>
      </w:r>
      <w:r w:rsidRPr="00AB41BB">
        <w:t xml:space="preserve">het meervoudig bronhouderschap bij </w:t>
      </w:r>
      <w:r w:rsidR="003F5D8B">
        <w:fldChar w:fldCharType="begin"/>
      </w:r>
      <w:r w:rsidR="003F5D8B">
        <w:instrText xml:space="preserve"> DOCVARIABLE ID01+ </w:instrText>
      </w:r>
      <w:r w:rsidR="003F5D8B">
        <w:fldChar w:fldCharType="separate"/>
      </w:r>
      <w:r w:rsidR="00CD4A19">
        <w:t>het voorbereidingsbesluit</w:t>
      </w:r>
      <w:r w:rsidR="003F5D8B">
        <w:fldChar w:fldCharType="end"/>
      </w:r>
      <w:bookmarkEnd w:id="28"/>
    </w:p>
    <w:p w14:paraId="5571A7CC" w14:textId="3515FF4D" w:rsidR="00426DC0" w:rsidRDefault="00426DC0">
      <w:r>
        <w:t>Het concept ‘</w:t>
      </w:r>
      <w:r w:rsidR="0043570F">
        <w:t>tijdelijk regelingdeel</w:t>
      </w:r>
      <w:r>
        <w:t>’ wordt gebruikt om voorbeschermingsregels vorm te geven als een technisch van het omgevingsplan of de omgevingsverordening afgescheiden blokje dat in juridische zin onderdeel is van de geconsolideerde regeling van omgevingsplan of omgevingsverordening.</w:t>
      </w:r>
      <w:r w:rsidR="00AF63A5">
        <w:t xml:space="preserve"> </w:t>
      </w:r>
      <w:r w:rsidR="00AF63A5" w:rsidRPr="00AF63A5">
        <w:t>Zoals in de vorige paragraaf is beschreven, begint ieder tijdelijk regelingdeel met een tekstblok met daarin de conditie van het tijdelijk regelingdeel.</w:t>
      </w:r>
    </w:p>
    <w:p w14:paraId="27EFF80D" w14:textId="3C0BE4B6" w:rsidR="00866ED3" w:rsidRDefault="00866ED3"/>
    <w:p w14:paraId="2F51F9BA" w14:textId="524CEE9B" w:rsidR="00866ED3" w:rsidRDefault="007B3A1D">
      <w:r>
        <w:t xml:space="preserve">Het concept tijdelijk regelingdeel wordt toegepast </w:t>
      </w:r>
      <w:r w:rsidR="001460EA">
        <w:t xml:space="preserve">bij alle </w:t>
      </w:r>
      <w:r w:rsidR="00642457" w:rsidRPr="00642457">
        <w:t xml:space="preserve">verschijningsvormen van het voorbereidingsbesluit, dus zowel </w:t>
      </w:r>
      <w:r w:rsidR="000401C1">
        <w:t>bij</w:t>
      </w:r>
      <w:r w:rsidR="000401C1" w:rsidRPr="00642457">
        <w:t xml:space="preserve"> </w:t>
      </w:r>
      <w:r w:rsidR="00642457" w:rsidRPr="00642457">
        <w:t xml:space="preserve">de voorbereidingsbesluiten met meervoudig bronhouderschap (o.g.v. artikel 4.16 Ow) als </w:t>
      </w:r>
      <w:r w:rsidR="000401C1">
        <w:t>bij</w:t>
      </w:r>
      <w:r w:rsidR="000401C1" w:rsidRPr="00642457">
        <w:t xml:space="preserve"> </w:t>
      </w:r>
      <w:r w:rsidR="00642457" w:rsidRPr="00642457">
        <w:t>voorbereidingsbesluiten zonder meervoudig bronhouderschap (o.g.v. de artikelen 4.14 en 4.15 Ow)</w:t>
      </w:r>
      <w:r w:rsidR="00D44ECC">
        <w:t>. Daarvoor is een aantal redenen</w:t>
      </w:r>
      <w:r w:rsidR="003A4CF7">
        <w:t xml:space="preserve">. </w:t>
      </w:r>
      <w:r w:rsidR="00BE7670">
        <w:t xml:space="preserve">Het zorgt voor </w:t>
      </w:r>
      <w:r w:rsidR="00BE7670" w:rsidRPr="00BE7670">
        <w:t xml:space="preserve">de raadpleger </w:t>
      </w:r>
      <w:r w:rsidR="00BE7670">
        <w:t xml:space="preserve">voor </w:t>
      </w:r>
      <w:r w:rsidR="003A4CF7" w:rsidRPr="003A4CF7">
        <w:t>uniformiteit</w:t>
      </w:r>
      <w:r w:rsidR="00BE7670">
        <w:t>: alle voorbeschermingsregels zijn op dezelfde manier vormgegeven</w:t>
      </w:r>
      <w:r w:rsidR="00F01D22">
        <w:t xml:space="preserve"> en te benaderen. </w:t>
      </w:r>
      <w:r w:rsidR="00F77032">
        <w:t>Verder geldt dat voorbeschermingsregels altijd vervallen</w:t>
      </w:r>
      <w:r w:rsidR="00280357" w:rsidRPr="00280357">
        <w:t>, hetzij door een besluit hetzij door tijdsverloop</w:t>
      </w:r>
      <w:r w:rsidR="00F77032">
        <w:t xml:space="preserve">. </w:t>
      </w:r>
      <w:r w:rsidR="006F6257">
        <w:t>Door</w:t>
      </w:r>
      <w:r w:rsidR="00280357" w:rsidRPr="00280357">
        <w:t xml:space="preserve"> </w:t>
      </w:r>
      <w:r w:rsidR="00847242">
        <w:t>z</w:t>
      </w:r>
      <w:r w:rsidR="00AA6AAC">
        <w:t>e onder</w:t>
      </w:r>
      <w:r w:rsidR="00847242">
        <w:t xml:space="preserve"> te </w:t>
      </w:r>
      <w:r w:rsidR="00AA6AAC">
        <w:t xml:space="preserve">brengen </w:t>
      </w:r>
      <w:r w:rsidR="00280357" w:rsidRPr="00280357">
        <w:t xml:space="preserve">in </w:t>
      </w:r>
      <w:r w:rsidR="006F6257">
        <w:t>het</w:t>
      </w:r>
      <w:r w:rsidR="00280357" w:rsidRPr="00280357">
        <w:t xml:space="preserve"> tijdelijk regelingdeel is </w:t>
      </w:r>
      <w:r w:rsidR="003027C3">
        <w:t xml:space="preserve">het </w:t>
      </w:r>
      <w:r w:rsidR="00A9442B" w:rsidRPr="00A9442B">
        <w:t xml:space="preserve">technisch eenvoudig </w:t>
      </w:r>
      <w:r w:rsidR="00A9442B">
        <w:t>om ze niet meer te laten tonen n</w:t>
      </w:r>
      <w:r w:rsidR="00140364">
        <w:t>a</w:t>
      </w:r>
      <w:r w:rsidR="00A9442B">
        <w:t xml:space="preserve">dat ze zijn </w:t>
      </w:r>
      <w:r w:rsidR="003027C3">
        <w:t>vervallen</w:t>
      </w:r>
      <w:r w:rsidR="00280357" w:rsidRPr="00280357">
        <w:t xml:space="preserve">. </w:t>
      </w:r>
      <w:r w:rsidR="00F9784D">
        <w:t>Automatisch of n</w:t>
      </w:r>
      <w:r w:rsidR="00280357" w:rsidRPr="00280357">
        <w:t xml:space="preserve">a slechts een beperkte handeling </w:t>
      </w:r>
      <w:r w:rsidR="00F9784D">
        <w:t xml:space="preserve">zijn de voorbeschermingsregels dan </w:t>
      </w:r>
      <w:r w:rsidR="00280357" w:rsidRPr="00280357">
        <w:t>niet meer zichtbaar in DSO-LV. Wanneer de voorbeschermingsregels rechtstreeks zijn opgenomen in de geconsolideerde versie van het omgevingsplan of de omgevingsverordening vraagt dat veel meer van plansoftware en administratie. Dan moet immers de volledige verwerking van de voorbeschermingsregels in het omgevingsplan of de omgevingsverordening worden teruggedraaid, waarbij eventueel ook nog tussentijdse wijzigingsbesluiten een rol kunnen spelen.</w:t>
      </w:r>
      <w:r w:rsidR="00AC5FCE">
        <w:t xml:space="preserve"> </w:t>
      </w:r>
      <w:r w:rsidR="00866ED3" w:rsidRPr="00866ED3">
        <w:t>Daarom is, in ieder geval voor de eerste periode na het inwerkingtreden van de Omgevingswet, gekozen voor een oplossing die voor de bevoegde gezagen een zo beperkt mogelijk aantal complicaties met zich meebrengt.</w:t>
      </w:r>
    </w:p>
    <w:p w14:paraId="039F771C" w14:textId="77777777" w:rsidR="00426DC0" w:rsidRDefault="00426DC0"/>
    <w:p w14:paraId="7C959738" w14:textId="0FF03144" w:rsidR="00712F87" w:rsidRDefault="00426DC0">
      <w:r>
        <w:t xml:space="preserve">Toegepast op </w:t>
      </w:r>
      <w:r w:rsidR="003F5D8B">
        <w:fldChar w:fldCharType="begin"/>
      </w:r>
      <w:r w:rsidR="003F5D8B">
        <w:instrText xml:space="preserve"> DOCVARIABLE ID01+ </w:instrText>
      </w:r>
      <w:r w:rsidR="003F5D8B">
        <w:fldChar w:fldCharType="separate"/>
      </w:r>
      <w:r w:rsidR="00CD4A19">
        <w:t>het voorbereidingsbesluit</w:t>
      </w:r>
      <w:r w:rsidR="003F5D8B">
        <w:fldChar w:fldCharType="end"/>
      </w:r>
      <w:r>
        <w:t>, omgevingsplan en omgevingsverordening werkt het concept ‘</w:t>
      </w:r>
      <w:r w:rsidR="0043570F">
        <w:t>tijdelijk regelingdeel</w:t>
      </w:r>
      <w:r>
        <w:t xml:space="preserve">’ als volgt. Voorafgaand aan het nemen van een </w:t>
      </w:r>
      <w:r w:rsidR="003F5D8B">
        <w:fldChar w:fldCharType="begin"/>
      </w:r>
      <w:r w:rsidR="003F5D8B">
        <w:instrText xml:space="preserve"> DOCVARIABLE ID01 </w:instrText>
      </w:r>
      <w:r w:rsidR="003F5D8B">
        <w:fldChar w:fldCharType="separate"/>
      </w:r>
      <w:r w:rsidR="00CD4A19">
        <w:t>voorbereidingsbesluit</w:t>
      </w:r>
      <w:r w:rsidR="003F5D8B">
        <w:fldChar w:fldCharType="end"/>
      </w:r>
      <w:r>
        <w:t xml:space="preserve"> is er een hoofdregeling van omgevingsplan of omgevingsverordening. Een bestuursorgaan van gemeente, provincie of Rijk neemt een </w:t>
      </w:r>
      <w:r w:rsidR="003F5D8B">
        <w:fldChar w:fldCharType="begin"/>
      </w:r>
      <w:r w:rsidR="003F5D8B">
        <w:instrText xml:space="preserve"> DOCVARIABLE ID01 </w:instrText>
      </w:r>
      <w:r w:rsidR="003F5D8B">
        <w:fldChar w:fldCharType="separate"/>
      </w:r>
      <w:r w:rsidR="00CD4A19">
        <w:t>voorbereidingsbesluit</w:t>
      </w:r>
      <w:r w:rsidR="003F5D8B">
        <w:fldChar w:fldCharType="end"/>
      </w:r>
      <w:r>
        <w:t xml:space="preserve">. Dit </w:t>
      </w:r>
      <w:r w:rsidR="003F5D8B">
        <w:fldChar w:fldCharType="begin"/>
      </w:r>
      <w:r w:rsidR="003F5D8B">
        <w:instrText xml:space="preserve"> DO</w:instrText>
      </w:r>
      <w:r w:rsidR="003F5D8B">
        <w:instrText xml:space="preserve">CVARIABLE ID01 </w:instrText>
      </w:r>
      <w:r w:rsidR="003F5D8B">
        <w:fldChar w:fldCharType="separate"/>
      </w:r>
      <w:r w:rsidR="00CD4A19">
        <w:t>voorbereidingsbesluit</w:t>
      </w:r>
      <w:r w:rsidR="003F5D8B">
        <w:fldChar w:fldCharType="end"/>
      </w:r>
      <w:r w:rsidR="003F4044">
        <w:t xml:space="preserve"> </w:t>
      </w:r>
      <w:r>
        <w:t xml:space="preserve">wordt bekendgemaakt. De voorbeschermingsregels uit het </w:t>
      </w:r>
      <w:r w:rsidR="003F5D8B">
        <w:fldChar w:fldCharType="begin"/>
      </w:r>
      <w:r w:rsidR="003F5D8B">
        <w:instrText xml:space="preserve"> DOCVARIABLE ID01 </w:instrText>
      </w:r>
      <w:r w:rsidR="003F5D8B">
        <w:fldChar w:fldCharType="separate"/>
      </w:r>
      <w:r w:rsidR="00CD4A19">
        <w:t>voorbereidingsbesluit</w:t>
      </w:r>
      <w:r w:rsidR="003F5D8B">
        <w:fldChar w:fldCharType="end"/>
      </w:r>
      <w:r>
        <w:t xml:space="preserve"> worden niet </w:t>
      </w:r>
      <w:r w:rsidR="008E5E5F">
        <w:t xml:space="preserve">in technische zin </w:t>
      </w:r>
      <w:r>
        <w:t xml:space="preserve">geconsolideerd met de hoofdregeling. Het </w:t>
      </w:r>
      <w:r w:rsidR="003F5D8B">
        <w:fldChar w:fldCharType="begin"/>
      </w:r>
      <w:r w:rsidR="003F5D8B">
        <w:instrText xml:space="preserve"> DOCVARIABLE ID01 </w:instrText>
      </w:r>
      <w:r w:rsidR="003F5D8B">
        <w:fldChar w:fldCharType="separate"/>
      </w:r>
      <w:r w:rsidR="00CD4A19">
        <w:t>voorbereidingsbesluit</w:t>
      </w:r>
      <w:r w:rsidR="003F5D8B">
        <w:fldChar w:fldCharType="end"/>
      </w:r>
      <w:r>
        <w:t xml:space="preserve"> leidt dus niet tot een nieuwe versie van de hoofdregeling; de al aanwezige hoofdregeling op </w:t>
      </w:r>
      <w:r w:rsidR="00E803D5">
        <w:t>overheid.nl</w:t>
      </w:r>
      <w:r>
        <w:t xml:space="preserve"> en in DSO-LV blijft ongewijzigd bestaan. </w:t>
      </w:r>
      <w:r w:rsidR="002C4C39">
        <w:t>Doo</w:t>
      </w:r>
      <w:r w:rsidR="008B7ACD">
        <w:t>r</w:t>
      </w:r>
      <w:r w:rsidR="002C4C39">
        <w:t xml:space="preserve"> het gebruik van het </w:t>
      </w:r>
      <w:r w:rsidR="003B4BB5">
        <w:t>STOP-</w:t>
      </w:r>
      <w:r w:rsidR="002C4C39">
        <w:t xml:space="preserve">tekstmodel </w:t>
      </w:r>
      <w:r w:rsidR="00382927">
        <w:t>RegelingTijdelijkdeel</w:t>
      </w:r>
      <w:r>
        <w:t xml:space="preserve"> </w:t>
      </w:r>
      <w:r w:rsidR="0095737F">
        <w:t xml:space="preserve">ontstaat door </w:t>
      </w:r>
      <w:r w:rsidR="008B7ACD">
        <w:t xml:space="preserve">het </w:t>
      </w:r>
      <w:r w:rsidR="003F5D8B">
        <w:fldChar w:fldCharType="begin"/>
      </w:r>
      <w:r w:rsidR="003F5D8B">
        <w:instrText xml:space="preserve"> DOCVA</w:instrText>
      </w:r>
      <w:r w:rsidR="003F5D8B">
        <w:instrText xml:space="preserve">RIABLE ID01 </w:instrText>
      </w:r>
      <w:r w:rsidR="003F5D8B">
        <w:fldChar w:fldCharType="separate"/>
      </w:r>
      <w:r w:rsidR="00CD4A19">
        <w:t>voorbereidingsbesluit</w:t>
      </w:r>
      <w:r w:rsidR="003F5D8B">
        <w:fldChar w:fldCharType="end"/>
      </w:r>
      <w:r>
        <w:t xml:space="preserve"> een nieuw tijdelijk regelingdeel </w:t>
      </w:r>
      <w:r w:rsidR="0095737F">
        <w:t xml:space="preserve">als onderdeel </w:t>
      </w:r>
      <w:r w:rsidR="008B7ACD">
        <w:t xml:space="preserve">van </w:t>
      </w:r>
      <w:r w:rsidR="0095737F">
        <w:t xml:space="preserve">de geconsolideerde regeling van </w:t>
      </w:r>
      <w:r w:rsidR="008B7ACD">
        <w:t>omgevingsplan of omgevingsverordening</w:t>
      </w:r>
      <w:r>
        <w:t xml:space="preserve">. Daarin komen de voorbeschermingsregels én het tekstblok met </w:t>
      </w:r>
      <w:r w:rsidR="00B738FA">
        <w:t xml:space="preserve">de </w:t>
      </w:r>
      <w:r>
        <w:t xml:space="preserve">conditie die bij dit </w:t>
      </w:r>
      <w:r w:rsidR="003F5D8B">
        <w:fldChar w:fldCharType="begin"/>
      </w:r>
      <w:r w:rsidR="003F5D8B">
        <w:instrText xml:space="preserve"> DOCVARIABLE </w:instrText>
      </w:r>
      <w:r w:rsidR="003F5D8B">
        <w:instrText xml:space="preserve">ID01 </w:instrText>
      </w:r>
      <w:r w:rsidR="003F5D8B">
        <w:fldChar w:fldCharType="separate"/>
      </w:r>
      <w:r w:rsidR="00CD4A19">
        <w:t>voorbereidingsbesluit</w:t>
      </w:r>
      <w:r w:rsidR="003F5D8B">
        <w:fldChar w:fldCharType="end"/>
      </w:r>
      <w:r>
        <w:t xml:space="preserve"> hor</w:t>
      </w:r>
      <w:r w:rsidR="00A128E3">
        <w:t>en</w:t>
      </w:r>
      <w:r>
        <w:t xml:space="preserve">. </w:t>
      </w:r>
      <w:r w:rsidR="002352CC">
        <w:t xml:space="preserve">Het is dus het bestuursorgaan dat het voorbereidingsbesluit neemt dat </w:t>
      </w:r>
      <w:r w:rsidR="002D1E72">
        <w:t xml:space="preserve">er voor zorgt </w:t>
      </w:r>
      <w:r w:rsidR="002D1E72">
        <w:lastRenderedPageBreak/>
        <w:t>dat er een nieuw tijdelijk regelingdeel deel gaat uit maken van de geconsolideerde regeling van het omgevingsplan</w:t>
      </w:r>
      <w:r w:rsidR="00C07729">
        <w:t xml:space="preserve"> of de omgevingsverordening</w:t>
      </w:r>
      <w:r w:rsidR="002D1E72">
        <w:t>.</w:t>
      </w:r>
      <w:r w:rsidR="008D29FA">
        <w:t xml:space="preserve"> </w:t>
      </w:r>
      <w:r w:rsidR="003516AC">
        <w:t xml:space="preserve">Dat </w:t>
      </w:r>
      <w:r w:rsidR="00983CD9">
        <w:t xml:space="preserve">doet het door </w:t>
      </w:r>
      <w:r w:rsidR="00231C12">
        <w:t xml:space="preserve">het voorbereidingsbesluit met het tijdelijk regelingdeel aan te </w:t>
      </w:r>
      <w:r w:rsidR="003516AC">
        <w:t>lever</w:t>
      </w:r>
      <w:r w:rsidR="00231C12">
        <w:t>en aan de LVBB.</w:t>
      </w:r>
    </w:p>
    <w:p w14:paraId="4522635E" w14:textId="11D74D30" w:rsidR="003B0328" w:rsidRDefault="00B228A0">
      <w:r>
        <w:t xml:space="preserve">De </w:t>
      </w:r>
      <w:r w:rsidR="003B0328">
        <w:t xml:space="preserve">eigenaar van de hoofdregeling </w:t>
      </w:r>
      <w:r w:rsidR="006424BB">
        <w:t xml:space="preserve">van het omgevingsplan of de omgevingsverordening zorgt </w:t>
      </w:r>
      <w:r w:rsidR="00095FDE">
        <w:t xml:space="preserve">er nadat de voorbeschermingsregels zijn vervallen </w:t>
      </w:r>
      <w:r w:rsidR="006424BB">
        <w:t xml:space="preserve">voor </w:t>
      </w:r>
      <w:r w:rsidR="00E648C4">
        <w:t xml:space="preserve">dat aan </w:t>
      </w:r>
      <w:r w:rsidR="006424BB">
        <w:t xml:space="preserve">de </w:t>
      </w:r>
      <w:r w:rsidR="006424BB" w:rsidRPr="006424BB">
        <w:t xml:space="preserve">LVBB de </w:t>
      </w:r>
      <w:r w:rsidR="00C074C9">
        <w:t>consolidatie-</w:t>
      </w:r>
      <w:r w:rsidR="006424BB" w:rsidRPr="006424BB">
        <w:t xml:space="preserve">informatie </w:t>
      </w:r>
      <w:r w:rsidR="00E648C4">
        <w:t xml:space="preserve">wordt aangeleverd </w:t>
      </w:r>
      <w:r w:rsidR="006424BB" w:rsidRPr="006424BB">
        <w:t xml:space="preserve">waardoor </w:t>
      </w:r>
      <w:r w:rsidR="00E648C4">
        <w:t xml:space="preserve">het tijdelijk regelingdeel met </w:t>
      </w:r>
      <w:r w:rsidR="006424BB" w:rsidRPr="006424BB">
        <w:t>de voorbeschermingsregels niet meer word</w:t>
      </w:r>
      <w:r w:rsidR="00E648C4">
        <w:t>t</w:t>
      </w:r>
      <w:r w:rsidR="006424BB" w:rsidRPr="006424BB">
        <w:t xml:space="preserve"> getoond</w:t>
      </w:r>
      <w:r w:rsidR="00E648C4">
        <w:t>.</w:t>
      </w:r>
      <w:r w:rsidR="00FF5B5E">
        <w:t xml:space="preserve"> Wanneer </w:t>
      </w:r>
      <w:r w:rsidR="0012548F">
        <w:t xml:space="preserve">de </w:t>
      </w:r>
      <w:r w:rsidR="0012548F" w:rsidRPr="0012548F">
        <w:t>voorbeschermingsregels</w:t>
      </w:r>
      <w:r w:rsidR="0012548F">
        <w:t xml:space="preserve"> </w:t>
      </w:r>
      <w:r w:rsidR="0012548F" w:rsidRPr="0012548F">
        <w:t xml:space="preserve">vervallen doordat niet </w:t>
      </w:r>
      <w:r w:rsidR="001B5599">
        <w:t xml:space="preserve">tijdig </w:t>
      </w:r>
      <w:r w:rsidR="0012548F" w:rsidRPr="0012548F">
        <w:t>het besluit is genomen waarop het voorbereidingsbesluit de voorbereiding was</w:t>
      </w:r>
      <w:r w:rsidR="001B5599">
        <w:t xml:space="preserve">, levert de gemeente dan wel de provincie na </w:t>
      </w:r>
      <w:r w:rsidR="001B5599" w:rsidRPr="001B5599">
        <w:t>een jaar en zes maanden</w:t>
      </w:r>
      <w:r w:rsidR="001B5599">
        <w:t xml:space="preserve"> die </w:t>
      </w:r>
      <w:r w:rsidR="00C074C9" w:rsidRPr="00C074C9">
        <w:t>consolidatie-</w:t>
      </w:r>
      <w:r w:rsidR="001B5599">
        <w:t xml:space="preserve">informatie aan. </w:t>
      </w:r>
      <w:r w:rsidR="002378E5">
        <w:t xml:space="preserve">De aanlevering bestaat dan uitsluitend uit die informatie. </w:t>
      </w:r>
      <w:r w:rsidR="002830B0">
        <w:t xml:space="preserve">In het geval </w:t>
      </w:r>
      <w:r w:rsidR="004664E4">
        <w:t xml:space="preserve">dat </w:t>
      </w:r>
      <w:r w:rsidR="005A0C1C" w:rsidRPr="005A0C1C">
        <w:t xml:space="preserve">de voorbeschermingsregels door </w:t>
      </w:r>
      <w:r w:rsidR="004664E4" w:rsidRPr="004664E4">
        <w:t xml:space="preserve">het </w:t>
      </w:r>
      <w:r w:rsidR="0065274F">
        <w:t xml:space="preserve">nemen van het beoogde </w:t>
      </w:r>
      <w:r w:rsidR="004664E4" w:rsidRPr="004664E4">
        <w:t xml:space="preserve">besluit </w:t>
      </w:r>
      <w:r w:rsidR="005C3221" w:rsidRPr="005C3221">
        <w:t>vervallen</w:t>
      </w:r>
      <w:r w:rsidR="005C3221">
        <w:t xml:space="preserve">, </w:t>
      </w:r>
      <w:r w:rsidR="005C3221" w:rsidRPr="005C3221">
        <w:t xml:space="preserve">levert de gemeente dan wel de provincie de </w:t>
      </w:r>
      <w:r w:rsidR="00C074C9" w:rsidRPr="00C074C9">
        <w:t>consolidatie-</w:t>
      </w:r>
      <w:r w:rsidR="005C3221" w:rsidRPr="005C3221">
        <w:t xml:space="preserve">informatie </w:t>
      </w:r>
      <w:r w:rsidR="005C3221">
        <w:t xml:space="preserve">samen met het betreffende besluit </w:t>
      </w:r>
      <w:r w:rsidR="005C3221" w:rsidRPr="005C3221">
        <w:t>aan.</w:t>
      </w:r>
      <w:r w:rsidR="00FE6867">
        <w:t xml:space="preserve"> </w:t>
      </w:r>
      <w:r w:rsidR="004C1505">
        <w:t xml:space="preserve">Het </w:t>
      </w:r>
      <w:r w:rsidR="00077173">
        <w:t>proces</w:t>
      </w:r>
      <w:r w:rsidR="004C1505">
        <w:t xml:space="preserve"> van aanleveren van een voorbereidingsbesluit</w:t>
      </w:r>
      <w:r w:rsidR="00127349">
        <w:t xml:space="preserve"> dat een tijdelijk regelingdeel toevoegt aan de geconsolideerde regeling van een omgevingsplan of omgevingsverordening</w:t>
      </w:r>
      <w:r w:rsidR="00A02DE0">
        <w:t xml:space="preserve"> en het vervolgens aanleveren van </w:t>
      </w:r>
      <w:r w:rsidR="00A02DE0" w:rsidRPr="00A02DE0">
        <w:t>consolidatie-informatie</w:t>
      </w:r>
      <w:r w:rsidR="00A02DE0">
        <w:t xml:space="preserve"> om dat tijdelijk regelingdeel weer in te trekken is schematisch weergegeven in </w:t>
      </w:r>
      <w:r w:rsidR="00A02DE0" w:rsidRPr="00712F87">
        <w:rPr>
          <w:rStyle w:val="Verwijzing"/>
        </w:rPr>
        <w:fldChar w:fldCharType="begin"/>
      </w:r>
      <w:r w:rsidR="00A02DE0" w:rsidRPr="00712F87">
        <w:rPr>
          <w:rStyle w:val="Verwijzing"/>
        </w:rPr>
        <w:instrText xml:space="preserve"> REF _Ref_736a7d14f9c96d99fd6e232cbf3b8342_2 \n \h </w:instrText>
      </w:r>
      <w:r w:rsidR="00A02DE0" w:rsidRPr="00712F87">
        <w:rPr>
          <w:rStyle w:val="Verwijzing"/>
        </w:rPr>
      </w:r>
      <w:r w:rsidR="00A02DE0" w:rsidRPr="00712F87">
        <w:rPr>
          <w:rStyle w:val="Verwijzing"/>
        </w:rPr>
        <w:fldChar w:fldCharType="separate"/>
      </w:r>
      <w:r w:rsidR="00CD4A19" w:rsidRPr="00712F87">
        <w:rPr>
          <w:rStyle w:val="Verwijzing"/>
        </w:rPr>
        <w:t>Figuur 2</w:t>
      </w:r>
      <w:r w:rsidR="00A02DE0" w:rsidRPr="00712F87">
        <w:rPr>
          <w:rStyle w:val="Verwijzing"/>
        </w:rPr>
        <w:fldChar w:fldCharType="end"/>
      </w:r>
      <w:r w:rsidR="00A02DE0">
        <w:t>.</w:t>
      </w:r>
    </w:p>
    <w:p w14:paraId="1B2C30AA" w14:textId="4E884283" w:rsidR="00FE6867" w:rsidRDefault="000724AE">
      <w:pPr>
        <w:pStyle w:val="Figuur"/>
      </w:pPr>
      <w:r>
        <w:rPr>
          <w:noProof/>
        </w:rPr>
        <w:drawing>
          <wp:inline distT="0" distB="0" distL="0" distR="0" wp14:anchorId="5C6C82D7" wp14:editId="0F56068E">
            <wp:extent cx="5400040" cy="4775835"/>
            <wp:effectExtent l="0" t="0" r="0" b="5715"/>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fbeelding 30"/>
                    <pic:cNvPicPr/>
                  </pic:nvPicPr>
                  <pic:blipFill>
                    <a:blip r:embed="rId20"/>
                    <a:stretch>
                      <a:fillRect/>
                    </a:stretch>
                  </pic:blipFill>
                  <pic:spPr>
                    <a:xfrm>
                      <a:off x="0" y="0"/>
                      <a:ext cx="5400040" cy="4775835"/>
                    </a:xfrm>
                    <a:prstGeom prst="rect">
                      <a:avLst/>
                    </a:prstGeom>
                  </pic:spPr>
                </pic:pic>
              </a:graphicData>
            </a:graphic>
          </wp:inline>
        </w:drawing>
      </w:r>
    </w:p>
    <w:p w14:paraId="47C2A8B1" w14:textId="50A69215" w:rsidR="00FE6867" w:rsidRPr="00FE6867" w:rsidRDefault="00077173" w:rsidP="0028106D">
      <w:pPr>
        <w:pStyle w:val="Figuurbijschrift"/>
      </w:pPr>
      <w:bookmarkStart w:id="29" w:name="_Ref_736a7d14f9c96d99fd6e232cbf3b8342_2"/>
      <w:r>
        <w:t xml:space="preserve">Aanleveren </w:t>
      </w:r>
      <w:r w:rsidR="00FD2B8F">
        <w:t xml:space="preserve">van voorbereidingsbesluit </w:t>
      </w:r>
      <w:r>
        <w:t>met tijdelijk regelingdeel en consolidatie-informatie in relatie tot geconsolideerde regeling</w:t>
      </w:r>
      <w:bookmarkEnd w:id="29"/>
    </w:p>
    <w:p w14:paraId="79BE85F8" w14:textId="1C9AD433" w:rsidR="00BC4119" w:rsidRDefault="00B80D9E">
      <w:r w:rsidRPr="00A060F7">
        <w:t xml:space="preserve">Hoe dat </w:t>
      </w:r>
      <w:r w:rsidR="008D29FA" w:rsidRPr="00A060F7">
        <w:t xml:space="preserve">werkt </w:t>
      </w:r>
      <w:r w:rsidR="001E17D1" w:rsidRPr="00A060F7">
        <w:t xml:space="preserve">is </w:t>
      </w:r>
      <w:r w:rsidR="00D95A18" w:rsidRPr="00A060F7">
        <w:t xml:space="preserve">voor de verschillende situaties </w:t>
      </w:r>
      <w:r w:rsidRPr="00A060F7">
        <w:t>beschreven</w:t>
      </w:r>
      <w:r w:rsidR="001E17D1" w:rsidRPr="00A060F7">
        <w:t xml:space="preserve"> in paragraaf </w:t>
      </w:r>
      <w:r w:rsidR="001E17D1" w:rsidRPr="00712F87">
        <w:rPr>
          <w:rStyle w:val="Verwijzing"/>
        </w:rPr>
        <w:fldChar w:fldCharType="begin"/>
      </w:r>
      <w:r w:rsidR="001E17D1" w:rsidRPr="00712F87">
        <w:rPr>
          <w:rStyle w:val="Verwijzing"/>
        </w:rPr>
        <w:instrText xml:space="preserve"> REF _Ref_465c78742acff8779d9d3e79a6b11619_1 </w:instrText>
      </w:r>
      <w:r w:rsidR="0022065B" w:rsidRPr="00712F87">
        <w:rPr>
          <w:rStyle w:val="Verwijzing"/>
        </w:rPr>
        <w:instrText>\n \h</w:instrText>
      </w:r>
      <w:r w:rsidR="001E17D1" w:rsidRPr="00712F87">
        <w:rPr>
          <w:rStyle w:val="Verwijzing"/>
        </w:rPr>
        <w:instrText xml:space="preserve"> </w:instrText>
      </w:r>
      <w:r w:rsidR="008378A8" w:rsidRPr="00712F87">
        <w:rPr>
          <w:rStyle w:val="Verwijzing"/>
        </w:rPr>
        <w:instrText xml:space="preserve"> \* MERGEFORMAT </w:instrText>
      </w:r>
      <w:r w:rsidR="001E17D1" w:rsidRPr="00712F87">
        <w:rPr>
          <w:rStyle w:val="Verwijzing"/>
        </w:rPr>
      </w:r>
      <w:r w:rsidR="001E17D1" w:rsidRPr="00712F87">
        <w:rPr>
          <w:rStyle w:val="Verwijzing"/>
        </w:rPr>
        <w:fldChar w:fldCharType="separate"/>
      </w:r>
      <w:r w:rsidR="00CD4A19" w:rsidRPr="00712F87">
        <w:rPr>
          <w:rStyle w:val="Verwijzing"/>
        </w:rPr>
        <w:t>2.4.5</w:t>
      </w:r>
      <w:r w:rsidR="001E17D1" w:rsidRPr="00712F87">
        <w:rPr>
          <w:rStyle w:val="Verwijzing"/>
        </w:rPr>
        <w:fldChar w:fldCharType="end"/>
      </w:r>
      <w:r w:rsidRPr="00A060F7">
        <w:t>.</w:t>
      </w:r>
    </w:p>
    <w:p w14:paraId="2727F034" w14:textId="77777777" w:rsidR="001E17D1" w:rsidRDefault="001E17D1"/>
    <w:p w14:paraId="0DA8F992" w14:textId="6AABB4F5" w:rsidR="00B32F30" w:rsidRDefault="005F6A08">
      <w:r w:rsidRPr="00EA004F">
        <w:lastRenderedPageBreak/>
        <w:t xml:space="preserve">Ieder </w:t>
      </w:r>
      <w:r w:rsidR="003F5D8B">
        <w:fldChar w:fldCharType="begin"/>
      </w:r>
      <w:r w:rsidR="003F5D8B">
        <w:instrText xml:space="preserve"> DOCVARIABLE ID01 </w:instrText>
      </w:r>
      <w:r w:rsidR="003F5D8B">
        <w:fldChar w:fldCharType="separate"/>
      </w:r>
      <w:r w:rsidR="00CD4A19">
        <w:t>voorbereidingsbesluit</w:t>
      </w:r>
      <w:r w:rsidR="003F5D8B">
        <w:fldChar w:fldCharType="end"/>
      </w:r>
      <w:r w:rsidRPr="00EA004F">
        <w:t xml:space="preserve"> </w:t>
      </w:r>
      <w:r w:rsidR="005230F7">
        <w:t>leidt</w:t>
      </w:r>
      <w:r w:rsidR="0079307B">
        <w:t>, per besluit en indien van toepassing</w:t>
      </w:r>
      <w:r w:rsidR="009C4B25">
        <w:t xml:space="preserve"> </w:t>
      </w:r>
      <w:r w:rsidR="00761B3C" w:rsidRPr="00761B3C">
        <w:t>per gemeente of provincie</w:t>
      </w:r>
      <w:r w:rsidR="000F36E1">
        <w:t>,</w:t>
      </w:r>
      <w:r w:rsidR="00761B3C">
        <w:t xml:space="preserve"> </w:t>
      </w:r>
      <w:r w:rsidR="009C4B25">
        <w:t>tot</w:t>
      </w:r>
      <w:r w:rsidRPr="00A273B1">
        <w:t xml:space="preserve"> een </w:t>
      </w:r>
      <w:r>
        <w:t xml:space="preserve">afzonderlijk </w:t>
      </w:r>
      <w:r w:rsidRPr="00A273B1">
        <w:t>tijdelijk regelingdee</w:t>
      </w:r>
      <w:r>
        <w:t>l</w:t>
      </w:r>
      <w:r w:rsidR="000F36E1">
        <w:t>.</w:t>
      </w:r>
      <w:r>
        <w:t xml:space="preserve"> </w:t>
      </w:r>
      <w:r w:rsidR="009471F7" w:rsidRPr="009471F7">
        <w:t xml:space="preserve">Er kunnen dus tegelijkertijd voor het grondgebied van één gemeente of één provincie meerdere tijdelijk regelingdelen zijn, ieder ontstaan uit een eigen voorbereidingsbesluit. </w:t>
      </w:r>
      <w:r w:rsidR="00B32F30">
        <w:t xml:space="preserve">Het is dus niet zo dat er per gemeente </w:t>
      </w:r>
      <w:r w:rsidR="004540E6">
        <w:t>respectievelijk</w:t>
      </w:r>
      <w:r w:rsidR="00B32F30">
        <w:t xml:space="preserve"> provincie één tijdelijk regelingdeel is </w:t>
      </w:r>
      <w:r w:rsidR="00950972">
        <w:t>waarin de voorbeschermingsregels van alle genomen voorbereidingsbesluiten</w:t>
      </w:r>
      <w:r w:rsidR="0035267D">
        <w:t xml:space="preserve"> worden opgenomen.</w:t>
      </w:r>
    </w:p>
    <w:p w14:paraId="06801A1D" w14:textId="2D61992B" w:rsidR="005F6A08" w:rsidRDefault="00EA2686">
      <w:r>
        <w:t>E</w:t>
      </w:r>
      <w:r w:rsidR="008602BD">
        <w:t xml:space="preserve">r </w:t>
      </w:r>
      <w:r>
        <w:t xml:space="preserve">zijn </w:t>
      </w:r>
      <w:r w:rsidR="0034224A">
        <w:t>voorbereidingsbesluit</w:t>
      </w:r>
      <w:r w:rsidR="00AF27BA">
        <w:t>en</w:t>
      </w:r>
      <w:r w:rsidR="0034224A">
        <w:t xml:space="preserve"> </w:t>
      </w:r>
      <w:r w:rsidR="008602BD">
        <w:t xml:space="preserve">die </w:t>
      </w:r>
      <w:r w:rsidR="00BF4C28">
        <w:t>het omgevingsplan van één gemeente of de omgevingsverordening van één provincie wijzig</w:t>
      </w:r>
      <w:r w:rsidR="008602BD">
        <w:t>en</w:t>
      </w:r>
      <w:r w:rsidR="00BF4C28">
        <w:t xml:space="preserve"> met voorbeschermingsregels</w:t>
      </w:r>
      <w:r w:rsidR="008602BD">
        <w:t>. Ieder voorbereidingsbesluit van dit type</w:t>
      </w:r>
      <w:r w:rsidR="00BF4C28">
        <w:t xml:space="preserve"> </w:t>
      </w:r>
      <w:r w:rsidR="00A624C5">
        <w:t>leidt tot</w:t>
      </w:r>
      <w:r w:rsidR="00BF4C28">
        <w:t xml:space="preserve"> ee</w:t>
      </w:r>
      <w:r w:rsidR="00A624C5">
        <w:t xml:space="preserve">n </w:t>
      </w:r>
      <w:r w:rsidR="00A624C5" w:rsidRPr="00A624C5">
        <w:t>afzonderlijk tijdelijk regelingdeel</w:t>
      </w:r>
      <w:r w:rsidR="00A624C5">
        <w:t xml:space="preserve">. </w:t>
      </w:r>
      <w:r w:rsidR="006F7922">
        <w:t xml:space="preserve">In het geval van </w:t>
      </w:r>
      <w:r w:rsidR="00A062AC">
        <w:t xml:space="preserve">voorbereidingsbesluiten die </w:t>
      </w:r>
      <w:r w:rsidR="006F7922">
        <w:t xml:space="preserve">het omgevingsplan </w:t>
      </w:r>
      <w:r w:rsidR="00A062AC">
        <w:t xml:space="preserve">wijzigen met voorbeschermingsregels </w:t>
      </w:r>
      <w:r w:rsidR="006F7922">
        <w:t>kunnen de</w:t>
      </w:r>
      <w:r w:rsidR="002201F1">
        <w:t xml:space="preserve"> tijdelijk regelingdelen afkomstig zijn van voorbereidingsbesluiten genomen door verschillende bevoegde gezagen. </w:t>
      </w:r>
      <w:r w:rsidR="00A25FF5">
        <w:t>Visueel gemaakt i</w:t>
      </w:r>
      <w:r w:rsidR="005F6A08" w:rsidRPr="00EA004F">
        <w:t xml:space="preserve">n een kaartbeeld </w:t>
      </w:r>
      <w:r w:rsidR="00C70D85">
        <w:t>zoals dat in bijvoorbeeld DSO-LV</w:t>
      </w:r>
      <w:r w:rsidR="00A25FF5">
        <w:t xml:space="preserve"> te zien kan zijn</w:t>
      </w:r>
      <w:r w:rsidR="00730FFE">
        <w:t>,</w:t>
      </w:r>
      <w:r w:rsidR="00A25FF5">
        <w:t xml:space="preserve"> </w:t>
      </w:r>
      <w:r w:rsidR="005F6A08" w:rsidRPr="00EA004F">
        <w:t>ziet dat eruit</w:t>
      </w:r>
      <w:r w:rsidR="005F6A08">
        <w:t xml:space="preserve"> als weergegeven in </w:t>
      </w:r>
      <w:r w:rsidR="008C1969" w:rsidRPr="00712F87">
        <w:rPr>
          <w:rStyle w:val="Verwijzing"/>
        </w:rPr>
        <w:fldChar w:fldCharType="begin"/>
      </w:r>
      <w:r w:rsidR="008C1969" w:rsidRPr="00712F87">
        <w:rPr>
          <w:rStyle w:val="Verwijzing"/>
        </w:rPr>
        <w:instrText xml:space="preserve"> REF _Ref_736a7d14f9c96d99fd6e232cbf3b8342_3 \n \h </w:instrText>
      </w:r>
      <w:r w:rsidR="008C1969" w:rsidRPr="00712F87">
        <w:rPr>
          <w:rStyle w:val="Verwijzing"/>
        </w:rPr>
      </w:r>
      <w:r w:rsidR="008C1969" w:rsidRPr="00712F87">
        <w:rPr>
          <w:rStyle w:val="Verwijzing"/>
        </w:rPr>
        <w:fldChar w:fldCharType="separate"/>
      </w:r>
      <w:r w:rsidR="00CD4A19" w:rsidRPr="00712F87">
        <w:rPr>
          <w:rStyle w:val="Verwijzing"/>
        </w:rPr>
        <w:t>Figuur 3</w:t>
      </w:r>
      <w:r w:rsidR="008C1969" w:rsidRPr="00712F87">
        <w:rPr>
          <w:rStyle w:val="Verwijzing"/>
        </w:rPr>
        <w:fldChar w:fldCharType="end"/>
      </w:r>
      <w:r w:rsidR="00292655">
        <w:t>, waarbij wordt opgemerkt</w:t>
      </w:r>
      <w:r w:rsidR="00FF1325">
        <w:t xml:space="preserve"> </w:t>
      </w:r>
      <w:r w:rsidR="00292655">
        <w:t xml:space="preserve">dat ook </w:t>
      </w:r>
      <w:r w:rsidR="00FF1325" w:rsidRPr="00FF1325">
        <w:t>reactieve interventie</w:t>
      </w:r>
      <w:r w:rsidR="00292655">
        <w:t xml:space="preserve">s </w:t>
      </w:r>
      <w:r w:rsidR="002717EB">
        <w:t xml:space="preserve">(het besluit op grond van artikel 16.21 Ow dat een onderdeel van een besluit tot wijziging van het omgevingsplan geen deel uitmaakt van dat omgevingsplan) </w:t>
      </w:r>
      <w:r w:rsidR="00292655">
        <w:t>leiden tot een tijdelijk regelingdeel</w:t>
      </w:r>
      <w:r w:rsidR="00FF1325" w:rsidRPr="00FF1325">
        <w:t>.</w:t>
      </w:r>
    </w:p>
    <w:p w14:paraId="7B766C06" w14:textId="216C4F2A" w:rsidR="005F6A08" w:rsidRDefault="002D5191">
      <w:pPr>
        <w:pStyle w:val="Figuur"/>
      </w:pPr>
      <w:r>
        <w:rPr>
          <w:noProof/>
        </w:rPr>
        <w:drawing>
          <wp:inline distT="0" distB="0" distL="0" distR="0" wp14:anchorId="0EE9003E" wp14:editId="3F1B7115">
            <wp:extent cx="5414695" cy="3223033"/>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1986" cy="3245230"/>
                    </a:xfrm>
                    <a:prstGeom prst="rect">
                      <a:avLst/>
                    </a:prstGeom>
                    <a:noFill/>
                  </pic:spPr>
                </pic:pic>
              </a:graphicData>
            </a:graphic>
          </wp:inline>
        </w:drawing>
      </w:r>
    </w:p>
    <w:p w14:paraId="091B29CE" w14:textId="5A83F6B7" w:rsidR="005F6A08" w:rsidRDefault="005F6A08">
      <w:pPr>
        <w:pStyle w:val="Figuurbijschrift"/>
      </w:pPr>
      <w:r w:rsidRPr="00243062">
        <w:tab/>
      </w:r>
      <w:bookmarkStart w:id="30" w:name="_Ref_736a7d14f9c96d99fd6e232cbf3b8342_3"/>
      <w:r w:rsidR="00870578" w:rsidRPr="00870578">
        <w:t xml:space="preserve">Schematisch kaartbeeld van geconsolideerde regeling bestaande uit hoofdregeling en tijdelijk regelingdelen </w:t>
      </w:r>
      <w:r w:rsidR="00396856">
        <w:t>van één gemeente of provincie</w:t>
      </w:r>
      <w:bookmarkEnd w:id="30"/>
    </w:p>
    <w:p w14:paraId="5CC5F15A" w14:textId="0C9EC124" w:rsidR="00712F87" w:rsidRDefault="00CD7ACC">
      <w:r w:rsidRPr="00712F87">
        <w:rPr>
          <w:rStyle w:val="Verwijzing"/>
        </w:rPr>
        <w:fldChar w:fldCharType="begin"/>
      </w:r>
      <w:r w:rsidRPr="00712F87">
        <w:rPr>
          <w:rStyle w:val="Verwijzing"/>
        </w:rPr>
        <w:instrText xml:space="preserve"> REF _Ref_736a7d14f9c96d99fd6e232cbf3b8342_3 \n \h </w:instrText>
      </w:r>
      <w:r w:rsidRPr="00712F87">
        <w:rPr>
          <w:rStyle w:val="Verwijzing"/>
        </w:rPr>
      </w:r>
      <w:r w:rsidRPr="00712F87">
        <w:rPr>
          <w:rStyle w:val="Verwijzing"/>
        </w:rPr>
        <w:fldChar w:fldCharType="separate"/>
      </w:r>
      <w:r w:rsidR="00CD4A19" w:rsidRPr="00712F87">
        <w:rPr>
          <w:rStyle w:val="Verwijzing"/>
        </w:rPr>
        <w:t>Figuur 3</w:t>
      </w:r>
      <w:r w:rsidRPr="00712F87">
        <w:rPr>
          <w:rStyle w:val="Verwijzing"/>
        </w:rPr>
        <w:fldChar w:fldCharType="end"/>
      </w:r>
      <w:r w:rsidR="00401389">
        <w:t xml:space="preserve"> </w:t>
      </w:r>
      <w:r w:rsidR="00E44CD3">
        <w:t xml:space="preserve">kan gezien worden als </w:t>
      </w:r>
      <w:r w:rsidR="00401389">
        <w:t>visua</w:t>
      </w:r>
      <w:r w:rsidR="00567C7F">
        <w:t>lis</w:t>
      </w:r>
      <w:r w:rsidR="00E44CD3">
        <w:t>atie van</w:t>
      </w:r>
      <w:r w:rsidR="00567C7F">
        <w:t xml:space="preserve"> verschillende mogelijkheden:</w:t>
      </w:r>
    </w:p>
    <w:p w14:paraId="62501DF4" w14:textId="30C901F5" w:rsidR="009834E4" w:rsidRPr="008C3909" w:rsidRDefault="009311CE">
      <w:pPr>
        <w:pStyle w:val="Opsommingtekens1"/>
      </w:pPr>
      <w:r w:rsidRPr="008C3909">
        <w:t xml:space="preserve">er </w:t>
      </w:r>
      <w:r w:rsidR="00A03A79" w:rsidRPr="008C3909">
        <w:t xml:space="preserve">zijn drie voorbereidingsbesluiten genomen, ieder voorbereidingsbesluit heeft een </w:t>
      </w:r>
      <w:r w:rsidR="003D55C5" w:rsidRPr="008C3909">
        <w:t xml:space="preserve">tijdelijk regelingdeel dat geldt voor een </w:t>
      </w:r>
      <w:r w:rsidR="00A03A79" w:rsidRPr="008C3909">
        <w:t>eigen gebied</w:t>
      </w:r>
      <w:r w:rsidR="00B758A6" w:rsidRPr="008C3909">
        <w:t>;</w:t>
      </w:r>
    </w:p>
    <w:p w14:paraId="47D7F563" w14:textId="02364D0E" w:rsidR="00FC0CC8" w:rsidRPr="008C3909" w:rsidRDefault="00BA35BB">
      <w:pPr>
        <w:pStyle w:val="Opsommingtekens1"/>
      </w:pPr>
      <w:r w:rsidRPr="008C3909">
        <w:t>er is één voorbereidingsbesluit genomen</w:t>
      </w:r>
      <w:r w:rsidR="00327CD1" w:rsidRPr="008C3909">
        <w:t>,</w:t>
      </w:r>
      <w:r w:rsidRPr="008C3909">
        <w:t xml:space="preserve"> dat </w:t>
      </w:r>
      <w:r w:rsidR="00327CD1" w:rsidRPr="008C3909">
        <w:t xml:space="preserve">voorbereidingsbesluit heeft één tijdelijk regelingdeel dat </w:t>
      </w:r>
      <w:r w:rsidR="00966237" w:rsidRPr="008C3909">
        <w:t xml:space="preserve">geldt voor </w:t>
      </w:r>
      <w:r w:rsidRPr="008C3909">
        <w:t>drie gebieden</w:t>
      </w:r>
      <w:r w:rsidR="00B758A6" w:rsidRPr="008C3909">
        <w:t>;</w:t>
      </w:r>
    </w:p>
    <w:p w14:paraId="07EB287C" w14:textId="7836D1B3" w:rsidR="00FC0CC8" w:rsidRPr="008C3909" w:rsidRDefault="006D6704">
      <w:pPr>
        <w:pStyle w:val="Opsommingtekens1"/>
      </w:pPr>
      <w:r w:rsidRPr="008C3909">
        <w:t xml:space="preserve">er zijn twee voorbereidingsbesluiten genomen, het eerste </w:t>
      </w:r>
      <w:r w:rsidR="00966237" w:rsidRPr="008C3909">
        <w:t xml:space="preserve">voorbereidingsbesluit heeft een tijdelijk regelingdeel dat geldt voor </w:t>
      </w:r>
      <w:r w:rsidRPr="008C3909">
        <w:t xml:space="preserve">twee gebieden, het tweede </w:t>
      </w:r>
      <w:r w:rsidR="00966237" w:rsidRPr="008C3909">
        <w:t xml:space="preserve">voorbereidingsbesluit heeft een tijdelijk regelingdeel dat geldt voor </w:t>
      </w:r>
      <w:r w:rsidRPr="008C3909">
        <w:t>één gebied</w:t>
      </w:r>
      <w:r w:rsidR="00FF634E" w:rsidRPr="008C3909">
        <w:t>.</w:t>
      </w:r>
    </w:p>
    <w:p w14:paraId="5897C05B" w14:textId="416447D6" w:rsidR="00712F87" w:rsidRDefault="009B66DE">
      <w:r>
        <w:t>NB</w:t>
      </w:r>
      <w:r w:rsidR="00400B67">
        <w:t>1</w:t>
      </w:r>
      <w:r>
        <w:t>: a</w:t>
      </w:r>
      <w:r w:rsidR="00E454E6" w:rsidRPr="00E454E6">
        <w:t>angezien ook de reactieve interventie een tijdelijk regelingdeel kent, zijn er ook combinaties van voorbereidingsbesluit(en) en reactieve interventie(s) mogelijk.</w:t>
      </w:r>
    </w:p>
    <w:p w14:paraId="6A859017" w14:textId="50BB52ED" w:rsidR="00D706D2" w:rsidRDefault="00400B67">
      <w:r>
        <w:lastRenderedPageBreak/>
        <w:t xml:space="preserve">NB2: </w:t>
      </w:r>
      <w:r w:rsidR="009F65BC">
        <w:t xml:space="preserve">voor </w:t>
      </w:r>
      <w:r w:rsidR="009B35C8">
        <w:t xml:space="preserve">tijdelijk regelingdelen die </w:t>
      </w:r>
      <w:r w:rsidR="00E26443">
        <w:t xml:space="preserve">een deel van het </w:t>
      </w:r>
      <w:r w:rsidR="009F65BC" w:rsidRPr="009F65BC">
        <w:t xml:space="preserve">grondgebied van een gemeente of provincie </w:t>
      </w:r>
      <w:r w:rsidR="009551D3">
        <w:t>betreffen, is het noodzakelijk om in de tekst</w:t>
      </w:r>
      <w:r w:rsidR="00321DF6">
        <w:t xml:space="preserve"> </w:t>
      </w:r>
      <w:r w:rsidR="00CF3B54">
        <w:t xml:space="preserve">van de voorbeschermingsregels </w:t>
      </w:r>
      <w:r w:rsidR="00321DF6">
        <w:t xml:space="preserve">en met behulp van Locaties, IMOW-annotaties en </w:t>
      </w:r>
      <w:r w:rsidR="00F93C70">
        <w:t xml:space="preserve">geografische informatieobjecten </w:t>
      </w:r>
      <w:r w:rsidR="006C1297">
        <w:t xml:space="preserve">vast te leggen </w:t>
      </w:r>
      <w:r w:rsidR="00CF3B54">
        <w:t xml:space="preserve">voor welk </w:t>
      </w:r>
      <w:r w:rsidR="00826433">
        <w:t>gebied ze gelden. U</w:t>
      </w:r>
      <w:r w:rsidR="008C3909" w:rsidRPr="008C3909">
        <w:t>iteraard is het ook mogelijk dat een voorbereidingsbesluit (en dus ook een tijdelijk regelingdeel) geldt voor het hele grondgebied van een gemeente of provincie.</w:t>
      </w:r>
    </w:p>
    <w:p w14:paraId="34B22D29" w14:textId="0F43CD30" w:rsidR="009B66DE" w:rsidRDefault="009B66DE"/>
    <w:p w14:paraId="372366D5" w14:textId="7A83C75C" w:rsidR="00E905EF" w:rsidRDefault="00520FD2">
      <w:r>
        <w:t>Opgemerkt wordt</w:t>
      </w:r>
      <w:r w:rsidR="003A1F59">
        <w:t xml:space="preserve"> dat er </w:t>
      </w:r>
      <w:r w:rsidR="00C61495">
        <w:t>toepasbare regels kunnen zijn bij regels uit de hoofdregeling die door het voorbereidingsbesluit</w:t>
      </w:r>
      <w:r w:rsidR="00B3602C">
        <w:t xml:space="preserve"> zijn gewijzigd</w:t>
      </w:r>
      <w:r w:rsidR="00DE5FA6">
        <w:t xml:space="preserve">. Als die toepasbare regels </w:t>
      </w:r>
      <w:r w:rsidR="004D54BA">
        <w:t xml:space="preserve">in de </w:t>
      </w:r>
      <w:r w:rsidR="00D6256C">
        <w:t>Vergunningcheck- en Aanvraagmodules van DSO-LV aanwezig blijven, k</w:t>
      </w:r>
      <w:r w:rsidR="00D93D6B">
        <w:t>rijgt</w:t>
      </w:r>
      <w:r w:rsidR="00D6256C">
        <w:t xml:space="preserve"> een raadpleger</w:t>
      </w:r>
      <w:r w:rsidR="00D93D6B">
        <w:t xml:space="preserve"> onjuiste informatie. </w:t>
      </w:r>
      <w:r w:rsidR="007530D5">
        <w:t>Wanneer er zowel</w:t>
      </w:r>
      <w:r w:rsidR="00164FC7">
        <w:t xml:space="preserve"> bij de hoofdregeling als bij het tijdelijk regelingdeel toepasbare regels zijn, krijgt een raadpleger dubbele informatie die deels juist en deels onjuist is. </w:t>
      </w:r>
      <w:r w:rsidR="00EA437F">
        <w:t>Er zullen bestuurlijke afspraken moeten worden gemaakt hoe hiermee omgegaan moet worden</w:t>
      </w:r>
      <w:r w:rsidR="0037025C">
        <w:t>.</w:t>
      </w:r>
    </w:p>
    <w:p w14:paraId="625C700F" w14:textId="77777777" w:rsidR="00E905EF" w:rsidRDefault="00E905EF"/>
    <w:p w14:paraId="76A894B4" w14:textId="22996E50" w:rsidR="009B66DE" w:rsidRDefault="009B66DE">
      <w:r w:rsidRPr="009B66DE">
        <w:t>Wanneer een voorbereidingsbesluit van Rijk of provincie de omgevingsplannen van meerdere gemeenten wijzigt, moet bij het voorbereidingsbesluit per gemeente een afzonderlijk tijdelijk regelingdeel met voorbeschermingsregels worden aangeleverd. Als bijvoorbeeld de provincie Noord-Brabant een voorbereidingsbesluit neemt dat geldt voor alle gemeenten in de provincie, moet ze aan de LVBB een voorbereidingsbesluit met 62 tijdelijk regelingdelen aanleveren (peiljaar aantal gemeenten in 2020).</w:t>
      </w:r>
      <w:r w:rsidR="00E93F82">
        <w:t xml:space="preserve"> </w:t>
      </w:r>
      <w:r w:rsidR="00E93F82" w:rsidRPr="00712F87">
        <w:rPr>
          <w:rStyle w:val="Verwijzing"/>
        </w:rPr>
        <w:fldChar w:fldCharType="begin"/>
      </w:r>
      <w:r w:rsidR="00E93F82" w:rsidRPr="00712F87">
        <w:rPr>
          <w:rStyle w:val="Verwijzing"/>
        </w:rPr>
        <w:instrText xml:space="preserve"> REF _Ref_736a7d14f9c96d99fd6e232cbf3b8342_4 \n \h </w:instrText>
      </w:r>
      <w:r w:rsidR="00E93F82" w:rsidRPr="00712F87">
        <w:rPr>
          <w:rStyle w:val="Verwijzing"/>
        </w:rPr>
      </w:r>
      <w:r w:rsidR="00E93F82" w:rsidRPr="00712F87">
        <w:rPr>
          <w:rStyle w:val="Verwijzing"/>
        </w:rPr>
        <w:fldChar w:fldCharType="separate"/>
      </w:r>
      <w:r w:rsidR="00CD4A19" w:rsidRPr="00712F87">
        <w:rPr>
          <w:rStyle w:val="Verwijzing"/>
        </w:rPr>
        <w:t>Figuur 4</w:t>
      </w:r>
      <w:r w:rsidR="00E93F82" w:rsidRPr="00712F87">
        <w:rPr>
          <w:rStyle w:val="Verwijzing"/>
        </w:rPr>
        <w:fldChar w:fldCharType="end"/>
      </w:r>
      <w:r w:rsidR="00E93F82">
        <w:t xml:space="preserve"> </w:t>
      </w:r>
      <w:r w:rsidR="00636F36">
        <w:t xml:space="preserve">laat, in de vorm van een schematisch kaartbeeld, een voorbeeld zien van een voorbereidingsbesluit </w:t>
      </w:r>
      <w:r w:rsidR="00AE668C">
        <w:t>gericht op de voorbereiding van een pr</w:t>
      </w:r>
      <w:r w:rsidR="0053372B">
        <w:t>o</w:t>
      </w:r>
      <w:r w:rsidR="00AE668C">
        <w:t xml:space="preserve">jectbesluit </w:t>
      </w:r>
      <w:r w:rsidR="0053372B">
        <w:t xml:space="preserve">dat voorziet in de aanleg van een provinciale weg </w:t>
      </w:r>
      <w:r w:rsidR="00376E18">
        <w:t>over het grondgebied van drie gemeenten</w:t>
      </w:r>
      <w:r w:rsidR="005E1C45">
        <w:t>.</w:t>
      </w:r>
      <w:r w:rsidR="00376E18">
        <w:t xml:space="preserve"> </w:t>
      </w:r>
      <w:r w:rsidR="005E1C45">
        <w:t>B</w:t>
      </w:r>
      <w:r w:rsidR="006971B9">
        <w:t xml:space="preserve">ij het voorbereidingsbesluit </w:t>
      </w:r>
      <w:r w:rsidR="001D668D">
        <w:t xml:space="preserve">wordt </w:t>
      </w:r>
      <w:r w:rsidR="00EF6DB5">
        <w:t xml:space="preserve">voor </w:t>
      </w:r>
      <w:r w:rsidR="005D31C9">
        <w:t xml:space="preserve">het omgevingsplan van </w:t>
      </w:r>
      <w:r w:rsidR="00EF6DB5">
        <w:t xml:space="preserve">iedere gemeente een afzonderlijk </w:t>
      </w:r>
      <w:r w:rsidR="00EF6DB5" w:rsidRPr="00EF6DB5">
        <w:t>tijdelijk regelingde</w:t>
      </w:r>
      <w:r w:rsidR="00EF6DB5">
        <w:t>e</w:t>
      </w:r>
      <w:r w:rsidR="00EF6DB5" w:rsidRPr="00EF6DB5">
        <w:t xml:space="preserve">l </w:t>
      </w:r>
      <w:r w:rsidR="006971B9">
        <w:t>aangeleverd</w:t>
      </w:r>
      <w:r w:rsidR="00EF6DB5">
        <w:t xml:space="preserve">; in totaal zijn er </w:t>
      </w:r>
      <w:r w:rsidR="004321C3">
        <w:t xml:space="preserve">bij dit voorbereidingsbesluit </w:t>
      </w:r>
      <w:r w:rsidR="00EF6DB5">
        <w:t xml:space="preserve">dus </w:t>
      </w:r>
      <w:r w:rsidR="00EF6DB5" w:rsidRPr="00EF6DB5">
        <w:t>drie tijdelijk regelingdelen</w:t>
      </w:r>
      <w:r w:rsidR="00EF6DB5">
        <w:t>.</w:t>
      </w:r>
    </w:p>
    <w:p w14:paraId="51CE0E98" w14:textId="40273144" w:rsidR="005423C0" w:rsidRDefault="008C4149">
      <w:pPr>
        <w:pStyle w:val="Figuur"/>
      </w:pPr>
      <w:r>
        <w:rPr>
          <w:noProof/>
        </w:rPr>
        <w:drawing>
          <wp:inline distT="0" distB="0" distL="0" distR="0" wp14:anchorId="220BB764" wp14:editId="449FC3CC">
            <wp:extent cx="5423576" cy="3155950"/>
            <wp:effectExtent l="0" t="0" r="5715" b="635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4030" cy="3185309"/>
                    </a:xfrm>
                    <a:prstGeom prst="rect">
                      <a:avLst/>
                    </a:prstGeom>
                    <a:noFill/>
                  </pic:spPr>
                </pic:pic>
              </a:graphicData>
            </a:graphic>
          </wp:inline>
        </w:drawing>
      </w:r>
    </w:p>
    <w:p w14:paraId="3A99D479" w14:textId="225B36EE" w:rsidR="008C4149" w:rsidRPr="008C4149" w:rsidRDefault="00396856">
      <w:pPr>
        <w:pStyle w:val="Figuurbijschrift"/>
      </w:pPr>
      <w:bookmarkStart w:id="31" w:name="_Ref_736a7d14f9c96d99fd6e232cbf3b8342_4"/>
      <w:r w:rsidRPr="00396856">
        <w:t>Schematisch weergegeven viewer-kaartbeeld van</w:t>
      </w:r>
      <w:r w:rsidR="00434D83">
        <w:t xml:space="preserve"> </w:t>
      </w:r>
      <w:r w:rsidR="00434D83" w:rsidRPr="00434D83">
        <w:t>één voorbereidingsbesluit</w:t>
      </w:r>
      <w:r w:rsidR="00496ED2">
        <w:t xml:space="preserve"> met drie</w:t>
      </w:r>
      <w:r w:rsidRPr="00396856">
        <w:t xml:space="preserve"> tijdelijk regelingdelen </w:t>
      </w:r>
      <w:r w:rsidR="00612B1B">
        <w:t xml:space="preserve">voor </w:t>
      </w:r>
      <w:r w:rsidR="00CE4F84">
        <w:t xml:space="preserve">de omgevingsplannen van drie </w:t>
      </w:r>
      <w:r w:rsidRPr="00396856">
        <w:t>gemeente</w:t>
      </w:r>
      <w:r w:rsidR="00612B1B">
        <w:t>n</w:t>
      </w:r>
      <w:bookmarkEnd w:id="3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 Id="rId20" Type="http://schemas.openxmlformats.org/officeDocument/2006/relationships/image" Target="media/image_fedce8caffa53c709f7b9c46328002a1.png"/><Relationship Id="rId21" Type="http://schemas.openxmlformats.org/officeDocument/2006/relationships/image" Target="media/image_d4fa6b4cb6172e97eb602955598a7c12.png"/><Relationship Id="rId22" Type="http://schemas.openxmlformats.org/officeDocument/2006/relationships/image" Target="media/image_07f28972f82c4e0b042ba000ecfbda8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