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51199" w14:textId="77777777" w:rsidR="00E33EDD" w:rsidRPr="00C07AF1" w:rsidRDefault="00E33EDD" w:rsidP="00E33EDD">
      <w:pPr>
        <w:pStyle w:val="Kop4"/>
      </w:pPr>
      <w:r w:rsidRPr="00C07AF1">
        <w:t>Toelichting</w:t>
      </w:r>
    </w:p>
    <w:p w14:paraId="4CA11444" w14:textId="5182A858" w:rsidR="00E33EDD" w:rsidRDefault="00E33EDD" w:rsidP="00E33EDD">
      <w:r w:rsidRPr="00F62F31">
        <w:t xml:space="preserve">Het besluit waarbij een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 w:rsidR="00927E81">
        <w:rPr>
          <w:noProof/>
        </w:rPr>
        <w:instrText>DOCVARIABLE ID01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CD4A19">
        <w:rPr>
          <w:noProof/>
        </w:rPr>
        <w:t>voorbereidingsbesluit</w:t>
      </w:r>
      <w:r w:rsidRPr="00F62F31">
        <w:fldChar w:fldCharType="end"/>
      </w:r>
      <w:r w:rsidRPr="00F62F31">
        <w:t xml:space="preserve"> of een wijziging daarvan wordt vastgesteld, bestaat uit twee onderdelen.</w:t>
      </w:r>
    </w:p>
    <w:p w14:paraId="5A934DF1" w14:textId="3AA076C5" w:rsidR="00E33EDD" w:rsidRPr="00CE66A9" w:rsidRDefault="00E33EDD" w:rsidP="000B51C1">
      <w:pPr>
        <w:pStyle w:val="Kop6"/>
      </w:pPr>
      <w:r w:rsidRPr="00CE66A9">
        <w:t xml:space="preserve">Deel één: </w:t>
      </w:r>
      <w:r w:rsidR="0009138C">
        <w:t xml:space="preserve">vaststellingsdocumenten en </w:t>
      </w:r>
      <w:r w:rsidRPr="00CE66A9">
        <w:t>motivering</w:t>
      </w:r>
    </w:p>
    <w:p w14:paraId="72DDB22C" w14:textId="7CFA5445" w:rsidR="00712F87" w:rsidRPr="00F62F31" w:rsidRDefault="00D222FA" w:rsidP="00E33EDD">
      <w:r>
        <w:t>Dit deel</w:t>
      </w:r>
      <w:r w:rsidR="00E33EDD" w:rsidRPr="00F62F31">
        <w:t xml:space="preserve"> van het besluit bestaat uit de vaststellingsdocumenten en de motivering van </w:t>
      </w:r>
      <w:r>
        <w:fldChar w:fldCharType="begin"/>
      </w:r>
      <w:r>
        <w:instrText>DOCVARIABLE ID01+</w:instrText>
      </w:r>
      <w:r>
        <w:fldChar w:fldCharType="separate"/>
      </w:r>
      <w:r w:rsidR="00CD4A19">
        <w:t>het voorbereidingsbesluit</w:t>
      </w:r>
      <w:r>
        <w:fldChar w:fldCharType="end"/>
      </w:r>
      <w:r w:rsidR="0072260D">
        <w:t xml:space="preserve"> </w:t>
      </w:r>
      <w:r w:rsidR="0072260D" w:rsidRPr="0072260D">
        <w:t>of het eventuele besluit tot wijziging daarvan</w:t>
      </w:r>
      <w:r w:rsidR="00E33EDD" w:rsidRPr="00F62F31">
        <w:t>.</w:t>
      </w:r>
    </w:p>
    <w:p w14:paraId="12FB87E3" w14:textId="3E094496" w:rsidR="00E33EDD" w:rsidRPr="00F62F31" w:rsidRDefault="00E33EDD" w:rsidP="00E33EDD">
      <w:r w:rsidRPr="00F62F31">
        <w:t xml:space="preserve">Dit deel begint met de vaststellingsdocumenten: de overwegingen van </w:t>
      </w:r>
      <w:r w:rsidR="00FE7189">
        <w:t>het bestuur</w:t>
      </w:r>
      <w:r w:rsidRPr="00F62F31">
        <w:t xml:space="preserve"> die leiden tot het nemen van het besluit. </w:t>
      </w:r>
      <w:r w:rsidR="00530C6A">
        <w:t xml:space="preserve">In dit deel wordt </w:t>
      </w:r>
      <w:r w:rsidR="00B50A8B">
        <w:t xml:space="preserve">ook aangegeven op welk besluit het voorbereidingsbesluit de voorbereiding is. </w:t>
      </w:r>
      <w:r w:rsidRPr="00F62F31">
        <w:t xml:space="preserve">Daarna volgt de motivering: de inhoudelijke onderbouwing van het besluit. </w:t>
      </w:r>
      <w:r>
        <w:t xml:space="preserve">In het geval van een wijzigingsbesluit </w:t>
      </w:r>
      <w:r w:rsidRPr="00F62F31">
        <w:t xml:space="preserve">wordt </w:t>
      </w:r>
      <w:r>
        <w:t xml:space="preserve">in dit deel onder andere beschreven </w:t>
      </w:r>
      <w:r w:rsidRPr="00F62F31">
        <w:t xml:space="preserve">op welke onderdelen </w:t>
      </w:r>
      <w:r>
        <w:fldChar w:fldCharType="begin"/>
      </w:r>
      <w:r>
        <w:instrText>DOCVARIABLE ID01+</w:instrText>
      </w:r>
      <w:r>
        <w:fldChar w:fldCharType="separate"/>
      </w:r>
      <w:r w:rsidR="00CD4A19">
        <w:t>het voorbereidingsbesluit</w:t>
      </w:r>
      <w:r>
        <w:fldChar w:fldCharType="end"/>
      </w:r>
      <w:r w:rsidRPr="00F62F31">
        <w:t xml:space="preserve"> wordt aangepast en waarom.</w:t>
      </w:r>
    </w:p>
    <w:p w14:paraId="5698DAB1" w14:textId="725B05C8" w:rsidR="00E33EDD" w:rsidRPr="00F62F31" w:rsidRDefault="00FD2E6E" w:rsidP="00E33EDD">
      <w:r>
        <w:t>Indien gewenst</w:t>
      </w:r>
      <w:r w:rsidR="00E33EDD" w:rsidRPr="00F62F31">
        <w:t xml:space="preserve"> kunnen bijlagen met onderzoeksgegevens en bescheiden bij dit eerste deel van het vaststellingsbesluit gevoegd zijn.</w:t>
      </w:r>
    </w:p>
    <w:p w14:paraId="410AA03A" w14:textId="2533FAED" w:rsidR="00E33EDD" w:rsidRPr="00780C33" w:rsidRDefault="00E33EDD" w:rsidP="000B51C1">
      <w:pPr>
        <w:pStyle w:val="Kop6"/>
      </w:pPr>
      <w:r w:rsidRPr="00780C33">
        <w:t>Deel twee:</w:t>
      </w:r>
      <w:r w:rsidR="00280E4D" w:rsidRPr="00280E4D">
        <w:t xml:space="preserve"> tijdelijk regelingdeel</w:t>
      </w:r>
      <w:r w:rsidR="00DA5700">
        <w:t xml:space="preserve">: conditie en </w:t>
      </w:r>
      <w:r w:rsidR="00B97FC7">
        <w:t>voorbeschermings</w:t>
      </w:r>
      <w:r w:rsidRPr="00780C33">
        <w:t>regel</w:t>
      </w:r>
      <w:r w:rsidR="00DA5700">
        <w:t>s</w:t>
      </w:r>
    </w:p>
    <w:p w14:paraId="4FB1A870" w14:textId="18FD3D6B" w:rsidR="00E33EDD" w:rsidRPr="00F62F31" w:rsidRDefault="00CC2B27" w:rsidP="00E33EDD">
      <w:r>
        <w:t xml:space="preserve">Dit </w:t>
      </w:r>
      <w:r w:rsidR="00E33EDD" w:rsidRPr="00F62F31">
        <w:t xml:space="preserve">deel van het besluit </w:t>
      </w:r>
      <w:r w:rsidR="00FA65AE" w:rsidRPr="00FA65AE">
        <w:t>begin</w:t>
      </w:r>
      <w:r w:rsidR="00FA65AE">
        <w:t>t</w:t>
      </w:r>
      <w:r w:rsidR="00FA65AE" w:rsidRPr="00FA65AE">
        <w:t xml:space="preserve"> met </w:t>
      </w:r>
      <w:r w:rsidR="00FA65AE">
        <w:t xml:space="preserve">het </w:t>
      </w:r>
      <w:r w:rsidR="00FA65AE" w:rsidRPr="006326B9">
        <w:t xml:space="preserve">in paragraaf </w:t>
      </w:r>
      <w:r w:rsidR="00FA65AE" w:rsidRPr="00712F87">
        <w:rPr>
          <w:rStyle w:val="Verwijzing"/>
        </w:rPr>
        <w:fldChar w:fldCharType="begin"/>
      </w:r>
      <w:r w:rsidR="00FA65AE" w:rsidRPr="00712F87">
        <w:rPr>
          <w:rStyle w:val="Verwijzing"/>
        </w:rPr>
        <w:instrText xml:space="preserve"> REF _Ref_e03b19435d1c8924bc1c8b24c728f3fa_1 </w:instrText>
      </w:r>
      <w:r w:rsidR="0022065B" w:rsidRPr="00712F87">
        <w:rPr>
          <w:rStyle w:val="Verwijzing"/>
        </w:rPr>
        <w:instrText>\n \h</w:instrText>
      </w:r>
      <w:r w:rsidR="00FA65AE" w:rsidRPr="00712F87">
        <w:rPr>
          <w:rStyle w:val="Verwijzing"/>
        </w:rPr>
        <w:instrText xml:space="preserve"> </w:instrText>
      </w:r>
      <w:r w:rsidR="00FA65AE" w:rsidRPr="00712F87">
        <w:rPr>
          <w:rStyle w:val="Verwijzing"/>
        </w:rPr>
      </w:r>
      <w:r w:rsidR="00FA65AE" w:rsidRPr="00712F87">
        <w:rPr>
          <w:rStyle w:val="Verwijzing"/>
        </w:rPr>
        <w:fldChar w:fldCharType="separate"/>
      </w:r>
      <w:r w:rsidR="00CD4A19" w:rsidRPr="00712F87">
        <w:rPr>
          <w:rStyle w:val="Verwijzing"/>
        </w:rPr>
        <w:t>2.4.3</w:t>
      </w:r>
      <w:r w:rsidR="00FA65AE" w:rsidRPr="00712F87">
        <w:rPr>
          <w:rStyle w:val="Verwijzing"/>
        </w:rPr>
        <w:fldChar w:fldCharType="end"/>
      </w:r>
      <w:r w:rsidR="00FA65AE">
        <w:t xml:space="preserve"> al</w:t>
      </w:r>
      <w:r w:rsidR="00FA65AE" w:rsidRPr="006326B9">
        <w:t xml:space="preserve"> beschreven </w:t>
      </w:r>
      <w:r w:rsidR="00FA65AE" w:rsidRPr="00FA65AE">
        <w:t>tekstblok met daarin de conditie van het tijdelijk regelingdeel: een beschrijving in woorden van de verhouding tussen dit tijdelijk regelingdeel en de hoofdregeling.</w:t>
      </w:r>
      <w:r w:rsidR="008011A7">
        <w:t xml:space="preserve"> Voorts </w:t>
      </w:r>
      <w:r w:rsidR="00666C7D">
        <w:t>bevat</w:t>
      </w:r>
      <w:r w:rsidR="00E33EDD" w:rsidRPr="00F62F31">
        <w:t xml:space="preserve"> </w:t>
      </w:r>
      <w:r w:rsidR="008011A7">
        <w:t xml:space="preserve">het </w:t>
      </w:r>
      <w:r w:rsidR="00E33EDD" w:rsidRPr="00F62F31">
        <w:t xml:space="preserve">de </w:t>
      </w:r>
      <w:r w:rsidR="00B97FC7">
        <w:t>voorbeschermings</w:t>
      </w:r>
      <w:r w:rsidR="00E33EDD" w:rsidRPr="00F62F31">
        <w:t xml:space="preserve">regels </w:t>
      </w:r>
      <w:r w:rsidR="00B97FC7">
        <w:t xml:space="preserve">waarmee </w:t>
      </w:r>
      <w:r>
        <w:fldChar w:fldCharType="begin"/>
      </w:r>
      <w:r>
        <w:instrText>DOCVARIABLE ID01+</w:instrText>
      </w:r>
      <w:r>
        <w:fldChar w:fldCharType="separate"/>
      </w:r>
      <w:r w:rsidR="00CD4A19">
        <w:t>het voorbereidingsbesluit</w:t>
      </w:r>
      <w:r>
        <w:fldChar w:fldCharType="end"/>
      </w:r>
      <w:r w:rsidR="00B97FC7">
        <w:t xml:space="preserve"> het omgevingsplan of de omgevingsverordening wijzigt</w:t>
      </w:r>
      <w:r w:rsidR="00DB5583">
        <w:t>.</w:t>
      </w:r>
      <w:r w:rsidR="00F846AD">
        <w:t xml:space="preserve"> </w:t>
      </w:r>
      <w:r w:rsidR="002771BE">
        <w:t xml:space="preserve">Het tijdelijk regelingdeel is opgezet als onderdeel van de geconsolideerde regeling van omgevingsplan of omgevingsverordening. </w:t>
      </w:r>
      <w:r w:rsidR="009C40B2">
        <w:t xml:space="preserve">De voorbeschermingsregels </w:t>
      </w:r>
      <w:r w:rsidR="002771BE">
        <w:t xml:space="preserve">moeten daarom </w:t>
      </w:r>
      <w:r w:rsidR="00B11886" w:rsidRPr="00B11886">
        <w:t xml:space="preserve">zijn </w:t>
      </w:r>
      <w:r w:rsidR="009C40B2">
        <w:t xml:space="preserve">geformuleerd als </w:t>
      </w:r>
      <w:r w:rsidR="00CC1BD8">
        <w:t>omgevingsplan- of omgevingsverordening</w:t>
      </w:r>
      <w:r w:rsidR="00B11886">
        <w:t xml:space="preserve">regels. </w:t>
      </w:r>
      <w:r w:rsidR="00395F45">
        <w:t xml:space="preserve">Het is niet de bedoeling dat het tijdelijk regelingdeel regels bevat als: </w:t>
      </w:r>
      <w:r w:rsidR="00324C38">
        <w:t>‘</w:t>
      </w:r>
      <w:r w:rsidR="00016FD3">
        <w:t xml:space="preserve">In artikel 24.1 lid 8 vervalt het woord bouwen’, of </w:t>
      </w:r>
      <w:r w:rsidR="002A44D2">
        <w:t xml:space="preserve">‘In artikel 16.21 wordt in het derde lid een vergunningplicht voor slopen toegevoegd’. </w:t>
      </w:r>
      <w:r w:rsidR="006524DA">
        <w:t>De voorbeschermingsregels</w:t>
      </w:r>
      <w:r w:rsidR="00F846AD" w:rsidRPr="00F846AD">
        <w:t xml:space="preserve"> </w:t>
      </w:r>
      <w:r w:rsidR="00E33EDD" w:rsidRPr="00F62F31">
        <w:t>bestaa</w:t>
      </w:r>
      <w:r w:rsidR="006524DA">
        <w:t>n</w:t>
      </w:r>
      <w:r w:rsidR="00E33EDD" w:rsidRPr="00F62F31">
        <w:t xml:space="preserve"> in ieder geval uit de </w:t>
      </w:r>
      <w:r w:rsidR="00E33EDD">
        <w:t>R</w:t>
      </w:r>
      <w:r w:rsidR="00E33EDD" w:rsidRPr="00F62F31">
        <w:t>egeltekst</w:t>
      </w:r>
      <w:r w:rsidR="00E33EDD">
        <w:t>(en)</w:t>
      </w:r>
      <w:r w:rsidR="00E33EDD" w:rsidRPr="00F62F31">
        <w:t xml:space="preserve"> en de daarbij behorende </w:t>
      </w:r>
      <w:r w:rsidR="00F34912">
        <w:t xml:space="preserve">Locatie of </w:t>
      </w:r>
      <w:r w:rsidR="00593271">
        <w:t>Locaties</w:t>
      </w:r>
      <w:r w:rsidR="00754986">
        <w:t>, vastgelegd in de vorm van geografische informatieobjecten</w:t>
      </w:r>
      <w:r w:rsidR="00280D0B">
        <w:rPr>
          <w:rStyle w:val="Eindnootmarkering"/>
        </w:rPr>
        <w:endnoteReference w:id="2"/>
      </w:r>
      <w:r w:rsidR="00E33EDD" w:rsidRPr="00F62F31">
        <w:t xml:space="preserve">. </w:t>
      </w:r>
      <w:r w:rsidR="006524DA" w:rsidRPr="006524DA">
        <w:t>Indien nodig kunnen ook bij dit tweede deel bijlagen worden gevoegd.</w:t>
      </w:r>
      <w:r w:rsidR="006524DA">
        <w:t xml:space="preserve"> </w:t>
      </w:r>
      <w:r w:rsidR="00A0166D">
        <w:t xml:space="preserve">Het artikel </w:t>
      </w:r>
      <w:r w:rsidR="008011A7">
        <w:t xml:space="preserve">met </w:t>
      </w:r>
      <w:r w:rsidR="00F01A73">
        <w:t xml:space="preserve">de </w:t>
      </w:r>
      <w:r w:rsidR="008011A7">
        <w:t xml:space="preserve">conditie en </w:t>
      </w:r>
      <w:r w:rsidR="00981949">
        <w:t xml:space="preserve">de </w:t>
      </w:r>
      <w:r w:rsidR="008011A7">
        <w:t>voorbeschermingsregels samen vormen het tijdelijk regelingdeel dat onderdeel vormt van de geconsolideerde regeling van omgevingsplan of omgevingsverordening.</w:t>
      </w:r>
      <w:r w:rsidR="002513DA">
        <w:t xml:space="preserve"> </w:t>
      </w:r>
      <w:r w:rsidR="006326B9" w:rsidRPr="006326B9">
        <w:t xml:space="preserve">In paragraaf </w:t>
      </w:r>
      <w:r w:rsidR="001A56D1" w:rsidRPr="00712F87">
        <w:rPr>
          <w:rStyle w:val="Verwijzing"/>
        </w:rPr>
        <w:fldChar w:fldCharType="begin"/>
      </w:r>
      <w:r w:rsidR="001A56D1" w:rsidRPr="00712F87">
        <w:rPr>
          <w:rStyle w:val="Verwijzing"/>
        </w:rPr>
        <w:instrText xml:space="preserve"> REF _Ref_6ad539b642f93c1fec452cd4ab601355_1 </w:instrText>
      </w:r>
      <w:r w:rsidR="0022065B" w:rsidRPr="00712F87">
        <w:rPr>
          <w:rStyle w:val="Verwijzing"/>
        </w:rPr>
        <w:instrText>\n \h</w:instrText>
      </w:r>
      <w:r w:rsidR="001A56D1" w:rsidRPr="00712F87">
        <w:rPr>
          <w:rStyle w:val="Verwijzing"/>
        </w:rPr>
        <w:instrText xml:space="preserve"> </w:instrText>
      </w:r>
      <w:r w:rsidR="001A56D1" w:rsidRPr="00712F87">
        <w:rPr>
          <w:rStyle w:val="Verwijzing"/>
        </w:rPr>
      </w:r>
      <w:r w:rsidR="001A56D1" w:rsidRPr="00712F87">
        <w:rPr>
          <w:rStyle w:val="Verwijzing"/>
        </w:rPr>
        <w:fldChar w:fldCharType="separate"/>
      </w:r>
      <w:r w:rsidR="00CD4A19" w:rsidRPr="00712F87">
        <w:rPr>
          <w:rStyle w:val="Verwijzing"/>
        </w:rPr>
        <w:t>5.4</w:t>
      </w:r>
      <w:r w:rsidR="001A56D1" w:rsidRPr="00712F87">
        <w:rPr>
          <w:rStyle w:val="Verwijzing"/>
        </w:rPr>
        <w:fldChar w:fldCharType="end"/>
      </w:r>
      <w:r w:rsidR="001A56D1">
        <w:t xml:space="preserve"> </w:t>
      </w:r>
      <w:r w:rsidR="006326B9" w:rsidRPr="006326B9">
        <w:t>worden de specificaties voor de indeling van dit deel twee gegeven.</w:t>
      </w:r>
    </w:p>
    <w:p w14:paraId="0F604377" w14:textId="637B2DD1" w:rsidR="00E33EDD" w:rsidRPr="00F62F31" w:rsidRDefault="00E33EDD" w:rsidP="00E33EDD">
      <w:r w:rsidRPr="00F62F31">
        <w:t>In het geval van een wijzigingsbesluit wordt in dit deel concreet aangegeven op welke wijze</w:t>
      </w:r>
      <w:r w:rsidR="00F657FD">
        <w:t xml:space="preserve"> de voorbeschermingsregels </w:t>
      </w:r>
      <w:r w:rsidRPr="00F62F31">
        <w:t>word</w:t>
      </w:r>
      <w:r w:rsidR="00F657FD">
        <w:t>en</w:t>
      </w:r>
      <w:r w:rsidRPr="00F62F31">
        <w:t xml:space="preserve"> aangepast. Aangegeven wordt welke </w:t>
      </w:r>
      <w:r>
        <w:t>artikelen, leden of onderdelen daarvan</w:t>
      </w:r>
      <w:r w:rsidRPr="00F62F31">
        <w:t xml:space="preserve"> worden toegevoegd, geschrapt, gewijzigd of vervangen door andere</w:t>
      </w:r>
      <w:r w:rsidR="00D31CAE">
        <w:rPr>
          <w:rStyle w:val="Eindnootmarkering"/>
        </w:rPr>
        <w:endnoteReference w:id="3"/>
      </w:r>
      <w:r w:rsidRPr="00F62F31">
        <w:t xml:space="preserve">. </w:t>
      </w:r>
      <w:r w:rsidR="00465786" w:rsidRPr="00465786">
        <w:t xml:space="preserve">Bij een wijzigingsbesluit wordt </w:t>
      </w:r>
      <w:r w:rsidR="00D4237D">
        <w:t>d</w:t>
      </w:r>
      <w:r>
        <w:t xml:space="preserve">it deel weergegeven in </w:t>
      </w:r>
      <w:r w:rsidR="00175570">
        <w:t>‘</w:t>
      </w:r>
      <w:r w:rsidR="00527AA5">
        <w:t>renvooiweergave</w:t>
      </w:r>
      <w:r w:rsidR="00175570">
        <w:t>’</w:t>
      </w:r>
      <w:r>
        <w:t>; een weergave waarin met visuele middelen wordt duidelijk gemaakt wat wordt toegevoegd of geschrapt.</w:t>
      </w:r>
    </w:p>
    <w:p w14:paraId="35CD8518" w14:textId="77777777" w:rsidR="00E33EDD" w:rsidRPr="00F62F31" w:rsidRDefault="00E33EDD" w:rsidP="00E33EDD"/>
    <w:p w14:paraId="2877B94B" w14:textId="53F3AF1A" w:rsidR="00E33EDD" w:rsidRPr="00F62F31" w:rsidRDefault="00E33EDD" w:rsidP="00E33EDD">
      <w:r w:rsidRPr="00F62F31">
        <w:t>De besluitonderdelen zijn schematisch weer gegeven in</w:t>
      </w:r>
      <w:r w:rsidR="006B1956">
        <w:t xml:space="preserve"> </w:t>
      </w:r>
      <w:r w:rsidR="006B1956" w:rsidRPr="00712F87">
        <w:rPr>
          <w:rStyle w:val="Verwijzing"/>
        </w:rPr>
        <w:fldChar w:fldCharType="begin"/>
      </w:r>
      <w:r w:rsidR="006B1956" w:rsidRPr="00712F87">
        <w:rPr>
          <w:rStyle w:val="Verwijzing"/>
        </w:rPr>
        <w:instrText xml:space="preserve"> REF _Ref_d3b2634dd460f1982f3df710cfb40aa4_1 \n \h </w:instrText>
      </w:r>
      <w:r w:rsidR="006B1956" w:rsidRPr="00712F87">
        <w:rPr>
          <w:rStyle w:val="Verwijzing"/>
        </w:rPr>
      </w:r>
      <w:r w:rsidR="006B1956" w:rsidRPr="00712F87">
        <w:rPr>
          <w:rStyle w:val="Verwijzing"/>
        </w:rPr>
        <w:fldChar w:fldCharType="separate"/>
      </w:r>
      <w:r w:rsidR="00CD4A19" w:rsidRPr="00712F87">
        <w:rPr>
          <w:rStyle w:val="Verwijzing"/>
        </w:rPr>
        <w:t>Figuur 8</w:t>
      </w:r>
      <w:r w:rsidR="006B1956" w:rsidRPr="00712F87">
        <w:rPr>
          <w:rStyle w:val="Verwijzing"/>
        </w:rPr>
        <w:fldChar w:fldCharType="end"/>
      </w:r>
      <w:r w:rsidRPr="00F62F31">
        <w:t>.</w:t>
      </w:r>
    </w:p>
    <w:p w14:paraId="140C4857" w14:textId="43C8347A" w:rsidR="00E33EDD" w:rsidRPr="00D91B0C" w:rsidRDefault="0028753B" w:rsidP="00D91B0C">
      <w:pPr>
        <w:pStyle w:val="Figuur"/>
      </w:pPr>
      <w:r>
        <w:rPr>
          <w:noProof/>
        </w:rPr>
        <w:lastRenderedPageBreak/>
        <w:drawing>
          <wp:inline distT="0" distB="0" distL="0" distR="0" wp14:anchorId="72920329" wp14:editId="23BB9A09">
            <wp:extent cx="2927500" cy="2781443"/>
            <wp:effectExtent l="0" t="0" r="635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esluitonderdelen Voorbereidingsbesluit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0022" w14:textId="77777777" w:rsidR="00E33EDD" w:rsidRPr="00F62F31" w:rsidRDefault="00E33EDD" w:rsidP="00E33EDD">
      <w:pPr>
        <w:pStyle w:val="Figuurbijschrift"/>
        <w:tabs>
          <w:tab w:val="clear" w:pos="1134"/>
          <w:tab w:val="num" w:pos="992"/>
        </w:tabs>
        <w:spacing w:line="259" w:lineRule="auto"/>
      </w:pPr>
      <w:bookmarkStart w:id="74" w:name="_Ref_d3b2634dd460f1982f3df710cfb40aa4_1"/>
      <w:r w:rsidRPr="00F62F31">
        <w:t>Schematische weergave besluitonderdelen</w:t>
      </w:r>
      <w:bookmarkEnd w:id="74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Relationship Id="rId26" Type="http://schemas.openxmlformats.org/officeDocument/2006/relationships/image" Target="media/image_56c718ea38b5b20b248189c90015b6e6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