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8E5E" w14:textId="2E33EF69" w:rsidR="00C171D2" w:rsidRPr="008D3C2B" w:rsidRDefault="00C171D2" w:rsidP="00C171D2">
      <w:pPr>
        <w:pStyle w:val="Kop3"/>
      </w:pPr>
      <w:bookmarkStart w:id="19" w:name="_Ref_713e2c62b4c97342472a5c3b49f9fa06_1"/>
      <w:r w:rsidRPr="008D3C2B">
        <w:t xml:space="preserve">De inhoud van </w:t>
      </w:r>
      <w:r w:rsidRPr="001B20FD">
        <w:fldChar w:fldCharType="begin"/>
      </w:r>
      <w:r w:rsidRPr="008D3C2B">
        <w:instrText xml:space="preserve"> DOCVARIABLE ID01+ </w:instrText>
      </w:r>
      <w:r w:rsidRPr="001B20FD">
        <w:fldChar w:fldCharType="separate"/>
      </w:r>
      <w:r w:rsidR="00F42094">
        <w:t>de waterschapsverordening</w:t>
      </w:r>
      <w:r w:rsidRPr="001B20FD">
        <w:fldChar w:fldCharType="end"/>
      </w:r>
      <w:bookmarkEnd w:id="19"/>
    </w:p>
    <w:p w14:paraId="6FA72623" w14:textId="5A0312A4" w:rsidR="002D2FE7" w:rsidRPr="008D3C2B" w:rsidRDefault="002D2FE7" w:rsidP="002D2FE7">
      <w:r w:rsidRPr="008D3C2B">
        <w:t xml:space="preserve">De Omgevingswet geeft geen sluitend overzicht van onderwerpen waarover in </w:t>
      </w:r>
      <w:r w:rsidR="00B55E4F" w:rsidRPr="001B20FD">
        <w:fldChar w:fldCharType="begin"/>
      </w:r>
      <w:r w:rsidR="00B55E4F" w:rsidRPr="008D3C2B">
        <w:instrText xml:space="preserve"> DOCVARIABLE ID01+ </w:instrText>
      </w:r>
      <w:r w:rsidR="00B55E4F" w:rsidRPr="001B20FD">
        <w:fldChar w:fldCharType="separate"/>
      </w:r>
      <w:r w:rsidR="00F42094">
        <w:t>de waterschapsverordening</w:t>
      </w:r>
      <w:r w:rsidR="00B55E4F" w:rsidRPr="001B20FD">
        <w:fldChar w:fldCharType="end"/>
      </w:r>
      <w:r w:rsidRPr="008D3C2B">
        <w:t xml:space="preserve"> </w:t>
      </w:r>
      <w:r w:rsidR="000C4005" w:rsidRPr="008D3C2B">
        <w:t xml:space="preserve">regels </w:t>
      </w:r>
      <w:r w:rsidRPr="008D3C2B">
        <w:t>gesteld moeten of kunnen worden. Wel is bepaald welke aspecten de fysieke leefomgeving in ieder geval omvat en welke gevolgen worden aangemerkt als gevolgen voor de fysieke leefomgeving.</w:t>
      </w:r>
    </w:p>
    <w:p w14:paraId="7A6EFC0E" w14:textId="1BA9257C" w:rsidR="002D2FE7" w:rsidRPr="008D3C2B" w:rsidRDefault="002D2FE7" w:rsidP="002D2FE7">
      <w:r w:rsidRPr="008D3C2B">
        <w:t xml:space="preserve">In de wet staan vervolgens -soms expliciet, vaker ook impliciet- specifiekere bepalingen over de inhoud van </w:t>
      </w:r>
      <w:r w:rsidR="00B55E4F" w:rsidRPr="001B20FD">
        <w:fldChar w:fldCharType="begin"/>
      </w:r>
      <w:r w:rsidR="00B55E4F" w:rsidRPr="008D3C2B">
        <w:instrText xml:space="preserve"> DOCVARIABLE ID01+ </w:instrText>
      </w:r>
      <w:r w:rsidR="00B55E4F" w:rsidRPr="001B20FD">
        <w:fldChar w:fldCharType="separate"/>
      </w:r>
      <w:r w:rsidR="00F42094">
        <w:t>de waterschapsverordening</w:t>
      </w:r>
      <w:r w:rsidR="00B55E4F" w:rsidRPr="001B20FD">
        <w:fldChar w:fldCharType="end"/>
      </w:r>
      <w:r w:rsidRPr="008D3C2B">
        <w:t xml:space="preserve">, zoals het aanwijzen van onderwerpen waarover regels alleen in een </w:t>
      </w:r>
      <w:r w:rsidR="00B55E4F" w:rsidRPr="001B20FD">
        <w:fldChar w:fldCharType="begin"/>
      </w:r>
      <w:r w:rsidR="00B55E4F" w:rsidRPr="008D3C2B">
        <w:instrText xml:space="preserve"> DOCVARIABLE ID01 </w:instrText>
      </w:r>
      <w:r w:rsidR="00B55E4F" w:rsidRPr="001B20FD">
        <w:fldChar w:fldCharType="separate"/>
      </w:r>
      <w:r w:rsidR="00F42094">
        <w:t>waterschapsverordening</w:t>
      </w:r>
      <w:r w:rsidR="00B55E4F" w:rsidRPr="001B20FD">
        <w:fldChar w:fldCharType="end"/>
      </w:r>
      <w:r w:rsidRPr="008D3C2B">
        <w:t xml:space="preserve"> mogen worden opgenomen.</w:t>
      </w:r>
    </w:p>
    <w:p w14:paraId="0EC8A24B" w14:textId="77777777" w:rsidR="002D2FE7" w:rsidRPr="008D3C2B" w:rsidRDefault="002D2FE7" w:rsidP="002D2FE7"/>
    <w:p w14:paraId="4206DECE" w14:textId="77777777" w:rsidR="002D2FE7" w:rsidRPr="008D3C2B" w:rsidRDefault="002D2FE7" w:rsidP="002D2FE7">
      <w:r w:rsidRPr="008D3C2B">
        <w:t>In de Omgevingswet is bepaald dat bij AMvB gevallen kunnen worden aangewezen:</w:t>
      </w:r>
    </w:p>
    <w:p w14:paraId="1C9E4A39" w14:textId="50BCB3C7" w:rsidR="002D2FE7" w:rsidRPr="008D3C2B" w:rsidRDefault="002D2FE7" w:rsidP="00A15280">
      <w:pPr>
        <w:pStyle w:val="Opsommingtekens1"/>
      </w:pPr>
      <w:r w:rsidRPr="008D3C2B">
        <w:t xml:space="preserve">waarin regels over de fysieke leefomgeving alleen in </w:t>
      </w:r>
      <w:r w:rsidR="00B55E4F" w:rsidRPr="001B20FD">
        <w:fldChar w:fldCharType="begin"/>
      </w:r>
      <w:r w:rsidR="00B55E4F" w:rsidRPr="008D3C2B">
        <w:instrText xml:space="preserve"> DOCVARIABLE ID01+ </w:instrText>
      </w:r>
      <w:r w:rsidR="00B55E4F" w:rsidRPr="001B20FD">
        <w:fldChar w:fldCharType="separate"/>
      </w:r>
      <w:r w:rsidR="00F42094">
        <w:t>de waterschapsverordening</w:t>
      </w:r>
      <w:r w:rsidR="00B55E4F" w:rsidRPr="001B20FD">
        <w:fldChar w:fldCharType="end"/>
      </w:r>
      <w:r w:rsidRPr="008D3C2B">
        <w:t xml:space="preserve"> mogen worden opgenomen;</w:t>
      </w:r>
    </w:p>
    <w:p w14:paraId="7F9227D2" w14:textId="11166944" w:rsidR="002D2FE7" w:rsidRPr="008D3C2B" w:rsidRDefault="002D2FE7" w:rsidP="00A15280">
      <w:pPr>
        <w:pStyle w:val="Opsommingtekens1"/>
      </w:pPr>
      <w:r w:rsidRPr="008D3C2B">
        <w:t xml:space="preserve">waarin regels over de fysieke leefomgeving niet in </w:t>
      </w:r>
      <w:r w:rsidR="00B55E4F" w:rsidRPr="001B20FD">
        <w:fldChar w:fldCharType="begin"/>
      </w:r>
      <w:r w:rsidR="00B55E4F" w:rsidRPr="008D3C2B">
        <w:instrText xml:space="preserve"> DOCVARIABLE ID01+ </w:instrText>
      </w:r>
      <w:r w:rsidR="00B55E4F" w:rsidRPr="001B20FD">
        <w:fldChar w:fldCharType="separate"/>
      </w:r>
      <w:r w:rsidR="00F42094">
        <w:t>de waterschapsverordening</w:t>
      </w:r>
      <w:r w:rsidR="00B55E4F" w:rsidRPr="001B20FD">
        <w:fldChar w:fldCharType="end"/>
      </w:r>
      <w:r w:rsidRPr="008D3C2B">
        <w:t xml:space="preserve"> mogen worden opgenomen.</w:t>
      </w:r>
    </w:p>
    <w:p w14:paraId="250EAF8F" w14:textId="77777777" w:rsidR="002D2FE7" w:rsidRPr="008D3C2B" w:rsidRDefault="002D2FE7" w:rsidP="002D2FE7"/>
    <w:p w14:paraId="22D858CB" w14:textId="23BC6A65" w:rsidR="0077097A" w:rsidRPr="008D3C2B" w:rsidRDefault="002D2FE7" w:rsidP="00746BA0">
      <w:r w:rsidRPr="008D3C2B">
        <w:t xml:space="preserve">Deze gevallen zijn aangewezen in artikel 2.1 van het Omgevingsbesluit. Naast de regels die, als ze worden gesteld, in </w:t>
      </w:r>
      <w:r w:rsidR="00B55E4F" w:rsidRPr="001B20FD">
        <w:fldChar w:fldCharType="begin"/>
      </w:r>
      <w:r w:rsidR="00B55E4F" w:rsidRPr="008D3C2B">
        <w:instrText xml:space="preserve"> DOCVARIABLE ID01+ </w:instrText>
      </w:r>
      <w:r w:rsidR="00B55E4F" w:rsidRPr="001B20FD">
        <w:fldChar w:fldCharType="separate"/>
      </w:r>
      <w:r w:rsidR="00F42094">
        <w:t>de waterschapsverordening</w:t>
      </w:r>
      <w:r w:rsidR="00B55E4F" w:rsidRPr="001B20FD">
        <w:fldChar w:fldCharType="end"/>
      </w:r>
      <w:r w:rsidRPr="008D3C2B">
        <w:t xml:space="preserve"> moeten worden opgenomen en de regels over onderwerpen die daarin niet mogen worden opgenomen, ontstaat als vanzelf ook een categorie regels over onderwerpen die in </w:t>
      </w:r>
      <w:r w:rsidR="00B55E4F" w:rsidRPr="001B20FD">
        <w:fldChar w:fldCharType="begin"/>
      </w:r>
      <w:r w:rsidR="00B55E4F" w:rsidRPr="008D3C2B">
        <w:instrText xml:space="preserve"> DOCVARIABLE ID01+ </w:instrText>
      </w:r>
      <w:r w:rsidR="00B55E4F" w:rsidRPr="001B20FD">
        <w:fldChar w:fldCharType="separate"/>
      </w:r>
      <w:r w:rsidR="00F42094">
        <w:t>de waterschapsverordening</w:t>
      </w:r>
      <w:r w:rsidR="00B55E4F" w:rsidRPr="001B20FD">
        <w:fldChar w:fldCharType="end"/>
      </w:r>
      <w:r w:rsidRPr="008D3C2B">
        <w:t xml:space="preserve"> kunnen worden </w:t>
      </w:r>
      <w:r w:rsidRPr="008D3C2B">
        <w:lastRenderedPageBreak/>
        <w:t>opgenomen maar waarvan dat niet verplicht wordt gesteld.</w:t>
      </w:r>
      <w:r w:rsidR="00464E12" w:rsidRPr="008D3C2B">
        <w:t xml:space="preserve"> </w:t>
      </w:r>
      <w:r w:rsidR="00904907" w:rsidRPr="008D3C2B">
        <w:t xml:space="preserve">Dergelijke inhoudelijke regels en onderwerpen die </w:t>
      </w:r>
      <w:r w:rsidR="00B55E4F" w:rsidRPr="001B20FD">
        <w:fldChar w:fldCharType="begin"/>
      </w:r>
      <w:r w:rsidR="00B55E4F" w:rsidRPr="008D3C2B">
        <w:instrText xml:space="preserve"> DOCVARIABLE ID01+ </w:instrText>
      </w:r>
      <w:r w:rsidR="00B55E4F" w:rsidRPr="001B20FD">
        <w:fldChar w:fldCharType="separate"/>
      </w:r>
      <w:r w:rsidR="00F42094">
        <w:t>de waterschapsverordening</w:t>
      </w:r>
      <w:r w:rsidR="00B55E4F" w:rsidRPr="001B20FD">
        <w:fldChar w:fldCharType="end"/>
      </w:r>
      <w:r w:rsidR="00904907" w:rsidRPr="008D3C2B">
        <w:t xml:space="preserve"> op grond van de Omgevingswet moet, respectievelijk kan, bevatten worden belicht in de Handreiking Waterschapsverordening</w:t>
      </w:r>
      <w:r w:rsidR="001F0F50" w:rsidRPr="008D3C2B">
        <w:rPr>
          <w:rStyle w:val="Voetnootmarkering"/>
        </w:rPr>
        <w:footnoteReference w:id="2"/>
      </w:r>
      <w:r w:rsidR="00C3420D" w:rsidRPr="008D3C2B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