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6E18A" w14:textId="1E025ED1" w:rsidR="00D92A5A" w:rsidRPr="008D3C2B" w:rsidRDefault="00D92A5A" w:rsidP="00942EF3">
      <w:pPr>
        <w:pStyle w:val="Kop3"/>
      </w:pPr>
      <w:bookmarkStart w:id="20" w:name="_Ref_e75a477fddbae9847b606d4b8526d925_1"/>
      <w:r w:rsidRPr="008D3C2B">
        <w:t>O</w:t>
      </w:r>
      <w:r w:rsidR="00FC35DC">
        <w:t>vergangsrecht en o</w:t>
      </w:r>
      <w:r w:rsidRPr="008D3C2B">
        <w:t>vergangsfase</w:t>
      </w:r>
      <w:bookmarkEnd w:id="20"/>
    </w:p>
    <w:p w14:paraId="0CE7291A" w14:textId="0684C541" w:rsidR="00D92A5A" w:rsidRPr="008D3C2B" w:rsidRDefault="00D92A5A" w:rsidP="00D92A5A">
      <w:pPr>
        <w:rPr>
          <w:bCs/>
        </w:rPr>
      </w:pPr>
      <w:r w:rsidRPr="008D3C2B">
        <w:rPr>
          <w:bCs/>
        </w:rPr>
        <w:t xml:space="preserve">Na inwerkingtreden van de Omgevingswet vormen bij AMvB aan te wijzen delen van de huidige keur, de legger (voor zover daarin de ligging van een waterstaatswerk en een daaraan grenzende beschermingszone is aangegeven) en andere regels die in </w:t>
      </w:r>
      <w:r w:rsidR="009020C9" w:rsidRPr="001B20FD">
        <w:fldChar w:fldCharType="begin"/>
      </w:r>
      <w:r w:rsidR="009020C9" w:rsidRPr="008D3C2B">
        <w:rPr>
          <w:bCs/>
        </w:rPr>
        <w:instrText xml:space="preserve"> DOCVARIABLE ID01+ </w:instrText>
      </w:r>
      <w:r w:rsidR="009020C9" w:rsidRPr="001B20FD">
        <w:fldChar w:fldCharType="separate"/>
      </w:r>
      <w:r w:rsidR="00F42094">
        <w:rPr>
          <w:bCs/>
        </w:rPr>
        <w:t>de waterschapsverordening</w:t>
      </w:r>
      <w:r w:rsidR="009020C9" w:rsidRPr="001B20FD">
        <w:fldChar w:fldCharType="end"/>
      </w:r>
      <w:r w:rsidRPr="008D3C2B">
        <w:rPr>
          <w:bCs/>
        </w:rPr>
        <w:t xml:space="preserve"> opgaan de van rechtswege voor het gehele grondgebied van een waterschap geldende </w:t>
      </w:r>
      <w:r w:rsidR="009020C9" w:rsidRPr="001B20FD">
        <w:fldChar w:fldCharType="begin"/>
      </w:r>
      <w:r w:rsidR="009020C9" w:rsidRPr="008D3C2B">
        <w:rPr>
          <w:bCs/>
        </w:rPr>
        <w:instrText xml:space="preserve"> DOCVARIABLE ID01 </w:instrText>
      </w:r>
      <w:r w:rsidR="009020C9" w:rsidRPr="001B20FD">
        <w:fldChar w:fldCharType="separate"/>
      </w:r>
      <w:r w:rsidR="00F42094">
        <w:rPr>
          <w:bCs/>
        </w:rPr>
        <w:t>waterschapsverordening</w:t>
      </w:r>
      <w:r w:rsidR="009020C9" w:rsidRPr="001B20FD">
        <w:fldChar w:fldCharType="end"/>
      </w:r>
      <w:r w:rsidRPr="008D3C2B">
        <w:rPr>
          <w:bCs/>
        </w:rPr>
        <w:t xml:space="preserve"> (art. 4.7 I</w:t>
      </w:r>
      <w:r w:rsidR="009E27B7">
        <w:rPr>
          <w:bCs/>
        </w:rPr>
        <w:t>nvoeringswet Omgevingswet</w:t>
      </w:r>
      <w:r w:rsidRPr="008D3C2B">
        <w:rPr>
          <w:bCs/>
        </w:rPr>
        <w:t>).</w:t>
      </w:r>
    </w:p>
    <w:p w14:paraId="1B20863E" w14:textId="5C908A40" w:rsidR="00D92A5A" w:rsidRPr="008D3C2B" w:rsidRDefault="00D92A5A" w:rsidP="00D92A5A">
      <w:pPr>
        <w:rPr>
          <w:bCs/>
        </w:rPr>
      </w:pPr>
      <w:r w:rsidRPr="008D3C2B">
        <w:rPr>
          <w:bCs/>
        </w:rPr>
        <w:t xml:space="preserve">Daarnaast zullen ook de regels die het Rijk decentraliseert als onderdeel van de zogenoemde </w:t>
      </w:r>
      <w:r w:rsidR="00C50F8F">
        <w:rPr>
          <w:bCs/>
        </w:rPr>
        <w:t>‘</w:t>
      </w:r>
      <w:r w:rsidRPr="008D3C2B">
        <w:rPr>
          <w:bCs/>
        </w:rPr>
        <w:t>bruidsschat</w:t>
      </w:r>
      <w:r w:rsidR="00C50F8F">
        <w:rPr>
          <w:bCs/>
        </w:rPr>
        <w:t>’</w:t>
      </w:r>
      <w:r w:rsidRPr="008D3C2B">
        <w:rPr>
          <w:bCs/>
        </w:rPr>
        <w:t xml:space="preserve"> onderdeel gaan uitmaken van </w:t>
      </w:r>
      <w:r w:rsidR="009020C9" w:rsidRPr="001B20FD">
        <w:fldChar w:fldCharType="begin"/>
      </w:r>
      <w:r w:rsidR="009020C9" w:rsidRPr="008D3C2B">
        <w:rPr>
          <w:bCs/>
        </w:rPr>
        <w:instrText xml:space="preserve"> DOCVARIABLE ID01+ </w:instrText>
      </w:r>
      <w:r w:rsidR="009020C9" w:rsidRPr="001B20FD">
        <w:fldChar w:fldCharType="separate"/>
      </w:r>
      <w:r w:rsidR="00F42094">
        <w:rPr>
          <w:bCs/>
        </w:rPr>
        <w:t>de waterschapsverordening</w:t>
      </w:r>
      <w:r w:rsidR="009020C9" w:rsidRPr="001B20FD">
        <w:fldChar w:fldCharType="end"/>
      </w:r>
      <w:r w:rsidRPr="008D3C2B">
        <w:rPr>
          <w:bCs/>
        </w:rPr>
        <w:t xml:space="preserve"> zoals die geldt ten tijde van de inwerkingtreding van de Omgevingswet (art. 22.14 Ow). Het Rijk draagt er zorg voor dat de regels uit de bruidsschat als onderdeel van </w:t>
      </w:r>
      <w:r w:rsidR="009020C9" w:rsidRPr="001B20FD">
        <w:fldChar w:fldCharType="begin"/>
      </w:r>
      <w:r w:rsidR="009020C9" w:rsidRPr="008D3C2B">
        <w:rPr>
          <w:bCs/>
        </w:rPr>
        <w:instrText xml:space="preserve"> DOCVARIABLE ID01+ </w:instrText>
      </w:r>
      <w:r w:rsidR="009020C9" w:rsidRPr="001B20FD">
        <w:fldChar w:fldCharType="separate"/>
      </w:r>
      <w:r w:rsidR="00F42094">
        <w:rPr>
          <w:bCs/>
        </w:rPr>
        <w:t>de waterschapsverordening</w:t>
      </w:r>
      <w:r w:rsidR="009020C9" w:rsidRPr="001B20FD">
        <w:fldChar w:fldCharType="end"/>
      </w:r>
      <w:r w:rsidRPr="008D3C2B">
        <w:rPr>
          <w:bCs/>
        </w:rPr>
        <w:t xml:space="preserve"> elektronisch geraadpleegd kunnen worden.</w:t>
      </w:r>
    </w:p>
    <w:p w14:paraId="49CAAA0D" w14:textId="423EB387" w:rsidR="00D92A5A" w:rsidRPr="008D3C2B" w:rsidRDefault="00D92A5A" w:rsidP="00D92A5A">
      <w:pPr>
        <w:rPr>
          <w:bCs/>
        </w:rPr>
      </w:pPr>
      <w:r w:rsidRPr="008D3C2B">
        <w:rPr>
          <w:bCs/>
        </w:rPr>
        <w:t xml:space="preserve">De verplichting tot vaststelling van een </w:t>
      </w:r>
      <w:r w:rsidR="009020C9" w:rsidRPr="001B20FD">
        <w:fldChar w:fldCharType="begin"/>
      </w:r>
      <w:r w:rsidR="009020C9" w:rsidRPr="008D3C2B">
        <w:rPr>
          <w:bCs/>
        </w:rPr>
        <w:instrText xml:space="preserve"> DOCVARIABLE ID01 </w:instrText>
      </w:r>
      <w:r w:rsidR="009020C9" w:rsidRPr="001B20FD">
        <w:fldChar w:fldCharType="separate"/>
      </w:r>
      <w:r w:rsidR="00F42094">
        <w:rPr>
          <w:bCs/>
        </w:rPr>
        <w:t>waterschapsverordening</w:t>
      </w:r>
      <w:r w:rsidR="009020C9" w:rsidRPr="001B20FD">
        <w:fldChar w:fldCharType="end"/>
      </w:r>
      <w:r w:rsidRPr="008D3C2B">
        <w:rPr>
          <w:bCs/>
        </w:rPr>
        <w:t xml:space="preserve"> geldt pas vanaf een bij koninklijk besluit te bepalen tijdstip.</w:t>
      </w:r>
      <w:r w:rsidR="00171EE7" w:rsidRPr="008D3C2B">
        <w:t xml:space="preserve"> </w:t>
      </w:r>
      <w:r w:rsidR="00171EE7" w:rsidRPr="008D3C2B">
        <w:rPr>
          <w:bCs/>
        </w:rPr>
        <w:t xml:space="preserve">Zie paragraaf 5.2.4.1 van de Memorie van Toelichting van de Invoeringswet Omgevingswet (Kamerstukken II 2017/18, 34 986, nr. 3, blz. 101 e.v.) voor een beschrijving van de overgangsfase voor </w:t>
      </w:r>
      <w:r w:rsidR="00171EE7" w:rsidRPr="001B20FD">
        <w:fldChar w:fldCharType="begin"/>
      </w:r>
      <w:r w:rsidR="00171EE7" w:rsidRPr="008D3C2B">
        <w:rPr>
          <w:bCs/>
        </w:rPr>
        <w:instrText xml:space="preserve"> DOCVARIABLE ID01+ </w:instrText>
      </w:r>
      <w:r w:rsidR="00171EE7" w:rsidRPr="001B20FD">
        <w:fldChar w:fldCharType="separate"/>
      </w:r>
      <w:r w:rsidR="00F42094">
        <w:rPr>
          <w:bCs/>
        </w:rPr>
        <w:t>de waterschapsverordening</w:t>
      </w:r>
      <w:r w:rsidR="00171EE7" w:rsidRPr="001B20FD">
        <w:fldChar w:fldCharType="end"/>
      </w:r>
      <w:r w:rsidRPr="008D3C2B">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