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FCE2" w14:textId="3BA53D15" w:rsidR="00E52984" w:rsidRPr="00F62F31" w:rsidRDefault="00295AD5" w:rsidP="00E52984">
      <w:pPr>
        <w:pStyle w:val="Kop2"/>
      </w:pPr>
      <w:bookmarkStart w:id="22" w:name="_Ref_73c0a31d7df39a90e0c191d440e43120_1"/>
      <w:r w:rsidRPr="00F62F31">
        <w:lastRenderedPageBreak/>
        <w:t>Uitgangspunten voor de toepassingsprofielen voor</w:t>
      </w:r>
      <w:r>
        <w:t xml:space="preserve"> omgevingsdocumenten</w:t>
      </w:r>
      <w:bookmarkEnd w:id="22"/>
    </w:p>
    <w:p w14:paraId="024B425F" w14:textId="4429F44E" w:rsidR="00E52984" w:rsidRPr="00F62F31" w:rsidRDefault="00295AD5" w:rsidP="00E52984">
      <w:pPr>
        <w:rPr>
          <w:rFonts w:eastAsia="Verdana" w:cs="Verdana"/>
        </w:rPr>
      </w:pPr>
      <w:r w:rsidRPr="00F62F31">
        <w:rPr>
          <w:rFonts w:eastAsia="Verdana" w:cs="Verdana"/>
        </w:rPr>
        <w:t>In dit hoofdstuk worden de uitgangspunten voor de toepassingsprofielen voor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/>
        </w:rPr>
        <w:t xml:space="preserve"> beschreven.</w:t>
      </w:r>
      <w:r w:rsidRPr="00F62F31">
        <w:rPr>
          <w:rFonts w:eastAsia="Verdana" w:cs="Verdana"/>
        </w:rPr>
        <w:t xml:space="preserve"> Deze uitgangspunten zijn mede gebruikt als bouwstenen voor de ontwikkeling van de TPOD</w:t>
      </w:r>
      <w:r>
        <w:rPr>
          <w:rFonts w:eastAsia="Verdana" w:cs="Verdana"/>
        </w:rPr>
        <w:t>’</w:t>
      </w:r>
      <w:r w:rsidRPr="00F62F31">
        <w:rPr>
          <w:rFonts w:eastAsia="Verdana" w:cs="Verdana"/>
        </w:rPr>
        <w:t xml:space="preserve">s. Deze informatie is met name beschrijvend van aard en dient het doel achtergrond te bieden voor </w:t>
      </w:r>
      <w:r>
        <w:rPr>
          <w:rFonts w:eastAsia="Verdana" w:cs="Verdana"/>
        </w:rPr>
        <w:t>deel</w:t>
      </w:r>
      <w:r w:rsidR="00A706E0">
        <w:rPr>
          <w:rFonts w:eastAsia="Verdana" w:cs="Verdana"/>
        </w:rPr>
        <w:t xml:space="preserve"> </w:t>
      </w:r>
      <w:r w:rsidR="008A4572" w:rsidRPr="00A95539">
        <w:rPr>
          <w:rStyle w:val="Verwijzing"/>
          <w:rFonts w:eastAsia="Verdana"/>
        </w:rPr>
        <w:fldChar w:fldCharType="begin"/>
      </w:r>
      <w:r w:rsidR="008A4572" w:rsidRPr="00A95539">
        <w:rPr>
          <w:rStyle w:val="Verwijzing"/>
          <w:rFonts w:eastAsia="Verdana"/>
        </w:rPr>
        <w:instrText xml:space="preserve"> REF _Ref_d61e4c5d855e19a5120096480cd2a748_1</w:instrText>
      </w:r>
      <w:r w:rsidR="003D2FED" w:rsidRPr="00A95539">
        <w:rPr>
          <w:rStyle w:val="Verwijzing"/>
          <w:rFonts w:eastAsia="Verdana"/>
        </w:rPr>
        <w:instrText xml:space="preserve"> \n \h</w:instrText>
      </w:r>
      <w:r w:rsidR="00F71EFF" w:rsidRPr="00A95539">
        <w:rPr>
          <w:rStyle w:val="Verwijzing"/>
          <w:rFonts w:eastAsia="Verdana"/>
        </w:rPr>
        <w:instrText>\n \h</w:instrText>
      </w:r>
      <w:r w:rsidR="008A4572" w:rsidRPr="00A95539">
        <w:rPr>
          <w:rStyle w:val="Verwijzing"/>
          <w:rFonts w:eastAsia="Verdana"/>
        </w:rPr>
        <w:instrText xml:space="preserve"> </w:instrText>
      </w:r>
      <w:r w:rsidR="008A4572" w:rsidRPr="00A95539">
        <w:rPr>
          <w:rStyle w:val="Verwijzing"/>
          <w:rFonts w:eastAsia="Verdana"/>
        </w:rPr>
      </w:r>
      <w:r w:rsidR="008A4572" w:rsidRPr="00A95539">
        <w:rPr>
          <w:rStyle w:val="Verwijzing"/>
          <w:rFonts w:eastAsia="Verdana"/>
        </w:rPr>
        <w:fldChar w:fldCharType="separate"/>
      </w:r>
      <w:r w:rsidR="00F42094" w:rsidRPr="00A95539">
        <w:rPr>
          <w:rStyle w:val="Verwijzing"/>
          <w:rFonts w:eastAsia="Verdana"/>
        </w:rPr>
        <w:t>B</w:t>
      </w:r>
      <w:r w:rsidR="008A4572" w:rsidRPr="00A95539">
        <w:rPr>
          <w:rStyle w:val="Verwijzing"/>
          <w:rFonts w:eastAsia="Verdana"/>
        </w:rPr>
        <w:fldChar w:fldCharType="end"/>
      </w:r>
      <w:r w:rsidRPr="00F62F31">
        <w:rPr>
          <w:rFonts w:eastAsia="Verdana" w:cs="Verdana"/>
        </w:rPr>
        <w:t xml:space="preserve">, </w:t>
      </w:r>
      <w:r>
        <w:rPr>
          <w:rFonts w:eastAsia="Verdana" w:cs="Verdana"/>
        </w:rPr>
        <w:t xml:space="preserve">dat de modellering van </w:t>
      </w:r>
      <w:r>
        <w:rPr>
          <w:rFonts w:eastAsia="Verdana" w:cs="Verdana"/>
        </w:rPr>
        <w:fldChar w:fldCharType="begin"/>
      </w:r>
      <w:r>
        <w:rPr>
          <w:rFonts w:eastAsia="Verdana" w:cs="Verdana"/>
        </w:rPr>
        <w:instrText xml:space="preserve"> DOCVARIABLE ID01+ </w:instrText>
      </w:r>
      <w:r>
        <w:rPr>
          <w:rFonts w:eastAsia="Verdana" w:cs="Verdana"/>
        </w:rPr>
        <w:fldChar w:fldCharType="separate"/>
      </w:r>
      <w:r w:rsidR="00F42094">
        <w:rPr>
          <w:rFonts w:eastAsia="Verdana" w:cs="Verdana"/>
        </w:rPr>
        <w:t>de waterschapsverordening</w:t>
      </w:r>
      <w:r>
        <w:rPr>
          <w:rFonts w:eastAsia="Verdana" w:cs="Verdana"/>
        </w:rPr>
        <w:fldChar w:fldCharType="end"/>
      </w:r>
      <w:r>
        <w:rPr>
          <w:rFonts w:eastAsia="Verdana" w:cs="Verdana"/>
        </w:rPr>
        <w:t xml:space="preserve"> beschrijft en </w:t>
      </w:r>
      <w:r w:rsidRPr="00F62F31">
        <w:rPr>
          <w:rFonts w:eastAsia="Verdana" w:cs="Verdana"/>
        </w:rPr>
        <w:t>voortbordu</w:t>
      </w:r>
      <w:r>
        <w:rPr>
          <w:rFonts w:eastAsia="Verdana" w:cs="Verdana"/>
        </w:rPr>
        <w:t>u</w:t>
      </w:r>
      <w:r w:rsidRPr="00F62F31">
        <w:rPr>
          <w:rFonts w:eastAsia="Verdana" w:cs="Verdana"/>
        </w:rPr>
        <w:t>r</w:t>
      </w:r>
      <w:r>
        <w:rPr>
          <w:rFonts w:eastAsia="Verdana" w:cs="Verdana"/>
        </w:rPr>
        <w:t>t</w:t>
      </w:r>
      <w:r w:rsidRPr="00F62F31">
        <w:rPr>
          <w:rFonts w:eastAsia="Verdana" w:cs="Verdana"/>
        </w:rPr>
        <w:t xml:space="preserve"> op de uitgangspunten beschreven in dit hoofdstuk</w:t>
      </w:r>
      <w:r w:rsidRPr="00F62F31">
        <w:rPr>
          <w:rFonts w:eastAsia="Verdana"/>
        </w:rPr>
        <w:t>.</w:t>
      </w:r>
      <w:r w:rsidR="00157A75">
        <w:rPr>
          <w:rFonts w:eastAsia="Verdana"/>
        </w:rPr>
        <w:t xml:space="preserve"> </w:t>
      </w:r>
      <w:r w:rsidR="00157A75" w:rsidRPr="00157A75">
        <w:rPr>
          <w:rFonts w:eastAsia="Verdana"/>
        </w:rPr>
        <w:t xml:space="preserve">Dit hoofdstuk beschrijft generiek de toegepaste principes in algemene bewoording. Het is mogelijk dat onderdelen van die teksten voor </w:t>
      </w:r>
      <w:r w:rsidR="00157A75">
        <w:rPr>
          <w:rFonts w:eastAsia="Verdana"/>
        </w:rPr>
        <w:fldChar w:fldCharType="begin"/>
      </w:r>
      <w:r w:rsidR="00157A75">
        <w:rPr>
          <w:rFonts w:eastAsia="Verdana"/>
        </w:rPr>
        <w:instrText xml:space="preserve"> DOCVARIABLE ID01+ </w:instrText>
      </w:r>
      <w:r w:rsidR="00157A75">
        <w:rPr>
          <w:rFonts w:eastAsia="Verdana"/>
        </w:rPr>
        <w:fldChar w:fldCharType="separate"/>
      </w:r>
      <w:r w:rsidR="00F42094">
        <w:rPr>
          <w:rFonts w:eastAsia="Verdana"/>
        </w:rPr>
        <w:t>de waterschapsverordening</w:t>
      </w:r>
      <w:r w:rsidR="00157A75">
        <w:rPr>
          <w:rFonts w:eastAsia="Verdana"/>
        </w:rPr>
        <w:fldChar w:fldCharType="end"/>
      </w:r>
      <w:r w:rsidR="00157A75" w:rsidRPr="00157A75">
        <w:rPr>
          <w:rFonts w:eastAsia="Verdana"/>
        </w:rPr>
        <w:t xml:space="preserve"> niet van toepassing zijn.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