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901D" w14:textId="77777777" w:rsidR="004624F3" w:rsidRPr="00F62F31" w:rsidRDefault="00DC3F34" w:rsidP="004624F3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70BF8C30" w14:textId="77777777" w:rsidR="004624F3" w:rsidRPr="006A159E" w:rsidRDefault="00DC3F34" w:rsidP="004624F3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7F71FD9A" w14:textId="396E39EB" w:rsidR="004624F3" w:rsidRPr="00F62F31" w:rsidRDefault="00DC3F34" w:rsidP="004624F3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8428BB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531AFA00" w14:textId="77777777" w:rsidR="004624F3" w:rsidRPr="00F62F31" w:rsidRDefault="00DC3F34" w:rsidP="004624F3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