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00C9" w14:textId="7BB0CCF5" w:rsidR="00C171D2" w:rsidRPr="008D3C2B" w:rsidRDefault="00C171D2" w:rsidP="00C171D2">
      <w:pPr>
        <w:pStyle w:val="Kop4"/>
      </w:pPr>
      <w:r w:rsidRPr="008D3C2B">
        <w:t>Toelichting</w:t>
      </w:r>
    </w:p>
    <w:p w14:paraId="3CBB0C31" w14:textId="5D2D8649" w:rsidR="00C171D2" w:rsidRPr="008D3C2B" w:rsidRDefault="00C171D2" w:rsidP="00C171D2">
      <w:r w:rsidRPr="008D3C2B">
        <w:t xml:space="preserve">Het besluit waarbij een </w:t>
      </w:r>
      <w:r w:rsidRPr="001B20FD">
        <w:fldChar w:fldCharType="begin"/>
      </w:r>
      <w:r w:rsidRPr="00ED4595">
        <w:instrText xml:space="preserve"> DOCVARIABLE ID01 </w:instrText>
      </w:r>
      <w:r w:rsidRPr="001B20FD">
        <w:fldChar w:fldCharType="separate"/>
      </w:r>
      <w:r w:rsidR="00F42094">
        <w:t>waterschapsverordening</w:t>
      </w:r>
      <w:r w:rsidRPr="001B20FD">
        <w:fldChar w:fldCharType="end"/>
      </w:r>
      <w:r w:rsidRPr="008D3C2B">
        <w:t xml:space="preserve"> of een wijziging daarvan wordt vastgesteld, bestaat uit twee onderdelen. Facultatief kan daar een derde deel aan worden toegevoegd.</w:t>
      </w:r>
    </w:p>
    <w:p w14:paraId="6ECF804D" w14:textId="78C9DC0F" w:rsidR="00C171D2" w:rsidRPr="008D3C2B" w:rsidRDefault="00C171D2" w:rsidP="00C171D2">
      <w:pPr>
        <w:pStyle w:val="Kop6"/>
      </w:pPr>
      <w:r w:rsidRPr="008D3C2B">
        <w:t xml:space="preserve">Deel één: </w:t>
      </w:r>
      <w:r w:rsidR="00C241B8">
        <w:t xml:space="preserve">vaststellingsdocumenten en </w:t>
      </w:r>
      <w:r w:rsidRPr="008D3C2B">
        <w:t>motivering</w:t>
      </w:r>
    </w:p>
    <w:p w14:paraId="2979F546" w14:textId="3E0A5DAF" w:rsidR="00C171D2" w:rsidRPr="008D3C2B" w:rsidRDefault="00C171D2" w:rsidP="00C171D2">
      <w:r w:rsidRPr="008D3C2B">
        <w:t xml:space="preserve">Dit deel van het besluit bestaat uit de vaststellingsdocumenten en de motivering van het besluit tot vaststelling c.q. wijziging van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t>.</w:t>
      </w:r>
    </w:p>
    <w:p w14:paraId="46C3361A" w14:textId="02C1D925" w:rsidR="00C171D2" w:rsidRPr="008D3C2B" w:rsidRDefault="00C171D2" w:rsidP="00C171D2">
      <w:r w:rsidRPr="008D3C2B">
        <w:t xml:space="preserve">Dit deel begint met de vaststellingsdocumenten: de overwegingen van </w:t>
      </w:r>
      <w:r w:rsidR="0078040B" w:rsidRPr="008D3C2B">
        <w:t xml:space="preserve">het algemeen bestuur en het dagelijks bestuur van </w:t>
      </w:r>
      <w:r w:rsidR="00823853">
        <w:t>het</w:t>
      </w:r>
      <w:r w:rsidR="0078040B" w:rsidRPr="008D3C2B">
        <w:t xml:space="preserve"> waterschap</w:t>
      </w:r>
      <w:r w:rsidRPr="008D3C2B">
        <w:t xml:space="preserve"> die leiden tot het nemen van het besluit, waaronder de wijze waarop met de ingekomen zienswijzen is omgegaan en het voorstel tot het nemen van dit besluit. Daarna volgt de motivering: de inhoudelijke onderbouwing van het besluit. Er wordt toegelicht op welke wijze gevolg is gegeven aan de toepasselijke instructieregels en instructies van de provincie en het Rijk. In het geval van een wijzigingsbesluit wordt in dit deel onder andere beschreven op welke onderdelen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t xml:space="preserve"> wordt aangepast en waarom, en wordt</w:t>
      </w:r>
      <w:r w:rsidR="003021CB" w:rsidRPr="008D3C2B">
        <w:t xml:space="preserve"> indien nodig</w:t>
      </w:r>
      <w:r w:rsidRPr="008D3C2B">
        <w:t xml:space="preserve"> verwezen naar voor die wijzigingen relevant beleid uit </w:t>
      </w:r>
      <w:r w:rsidR="003823B6" w:rsidRPr="008D3C2B">
        <w:t>andere omgevingsdocumenten</w:t>
      </w:r>
      <w:r w:rsidRPr="008D3C2B">
        <w:t>.</w:t>
      </w:r>
    </w:p>
    <w:p w14:paraId="49FF5BB6" w14:textId="77777777" w:rsidR="00C171D2" w:rsidRPr="008D3C2B" w:rsidRDefault="00C171D2" w:rsidP="00C171D2">
      <w:r w:rsidRPr="008D3C2B">
        <w:t>Ter ondersteuning van de motivering kunnen bijlagen met onderzoeksgegevens en bescheiden bij dit eerste deel van het vaststellingsbesluit gevoegd zijn.</w:t>
      </w:r>
    </w:p>
    <w:p w14:paraId="646E2DE8" w14:textId="77777777" w:rsidR="00C171D2" w:rsidRPr="008D3C2B" w:rsidRDefault="00C171D2" w:rsidP="00C171D2">
      <w:pPr>
        <w:pStyle w:val="Kop6"/>
      </w:pPr>
      <w:r w:rsidRPr="008D3C2B">
        <w:t>Deel twee: regels</w:t>
      </w:r>
    </w:p>
    <w:p w14:paraId="71E4007C" w14:textId="52D1E28A" w:rsidR="00C171D2" w:rsidRPr="008D3C2B" w:rsidRDefault="00C171D2" w:rsidP="00C171D2">
      <w:r w:rsidRPr="008D3C2B">
        <w:t xml:space="preserve">Dit deel van het besluit bestaat uit de regels van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t xml:space="preserve">. Het bestaat in ieder geval uit de Regeltekst(en) en de daarbij behorende </w:t>
      </w:r>
      <w:r w:rsidR="00B35466" w:rsidRPr="00B35466">
        <w:t>geografische informatieobjecten die de Locaties vastleggen</w:t>
      </w:r>
      <w:r w:rsidRPr="008D3C2B">
        <w:rPr>
          <w:rStyle w:val="Eindnootmarkering"/>
        </w:rPr>
        <w:endnoteReference w:id="2"/>
      </w:r>
      <w:r w:rsidRPr="008D3C2B">
        <w:t>. Bij dit tweede deel kunnen bijlagen worden gevoegd.</w:t>
      </w:r>
    </w:p>
    <w:p w14:paraId="52F381C4" w14:textId="08C3E27F" w:rsidR="00C171D2" w:rsidRPr="008D3C2B" w:rsidRDefault="00C171D2" w:rsidP="00C171D2">
      <w:r w:rsidRPr="008D3C2B">
        <w:t xml:space="preserve">In het geval van een wijzigingsbesluit wordt in dit deel concreet aangegeven op welke wijze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t xml:space="preserve"> wordt aangepast. Aangegeven wordt welke artikelen, leden of onderdelen daarvan worden toegevoegd, geschrapt, gewijzigd of vervangen door andere</w:t>
      </w:r>
      <w:r w:rsidRPr="008D3C2B">
        <w:rPr>
          <w:rStyle w:val="Eindnootmarkering"/>
        </w:rPr>
        <w:endnoteReference w:id="3"/>
      </w:r>
      <w:r w:rsidRPr="008D3C2B">
        <w:t xml:space="preserve">. Dit deel van het wijzigingsbesluit is vergelijkbaar met de wijziging van een wet of een verordening. Dit deel wordt weergegeven in </w:t>
      </w:r>
      <w:r w:rsidR="00C50F8F">
        <w:t>‘</w:t>
      </w:r>
      <w:r w:rsidRPr="008D3C2B">
        <w:t>renvooiweergave</w:t>
      </w:r>
      <w:r w:rsidR="00C50F8F">
        <w:t>’</w:t>
      </w:r>
      <w:r w:rsidRPr="008D3C2B">
        <w:t>; een weergave waarin met visuele middelen wordt duidelijk gemaakt wat wordt toegevoegd of geschrapt.</w:t>
      </w:r>
    </w:p>
    <w:p w14:paraId="62C62B9F" w14:textId="77777777" w:rsidR="00C171D2" w:rsidRPr="008D3C2B" w:rsidRDefault="00C171D2" w:rsidP="00C171D2">
      <w:pPr>
        <w:pStyle w:val="Kop6"/>
      </w:pPr>
      <w:r w:rsidRPr="008D3C2B">
        <w:t>Deel drie: artikelsgewijze en algemene toelichting</w:t>
      </w:r>
    </w:p>
    <w:p w14:paraId="6784506C" w14:textId="693DBDE7" w:rsidR="00C171D2" w:rsidRPr="008D3C2B" w:rsidRDefault="00C171D2" w:rsidP="00C171D2">
      <w:r w:rsidRPr="008D3C2B">
        <w:t xml:space="preserve">Dit deel kan aan het besluit worden toegevoegd als </w:t>
      </w:r>
      <w:r w:rsidR="003823B6" w:rsidRPr="008D3C2B">
        <w:t xml:space="preserve">het bestuur van </w:t>
      </w:r>
      <w:r w:rsidR="00823853">
        <w:t>het</w:t>
      </w:r>
      <w:r w:rsidR="00823853" w:rsidRPr="008D3C2B">
        <w:t xml:space="preserve"> </w:t>
      </w:r>
      <w:r w:rsidR="003823B6" w:rsidRPr="008D3C2B">
        <w:t>waterschap</w:t>
      </w:r>
      <w:r w:rsidRPr="008D3C2B">
        <w:t xml:space="preserve"> er voor kiest om bij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t xml:space="preserve"> een artikelsgewijze toelichting te geven. De artikelsgewijze toelichting is facultatief, niet verplicht. Als er voor een artikelsgewijze toelichting is gekozen bestaat dit deel van het besluit uit de volledige artikelsgewijze toelichting (bij de eerste vaststelling van een </w:t>
      </w:r>
      <w:r w:rsidR="00B55E4F" w:rsidRPr="001B20FD">
        <w:fldChar w:fldCharType="begin"/>
      </w:r>
      <w:r w:rsidR="00B55E4F" w:rsidRPr="008D3C2B">
        <w:instrText xml:space="preserve"> DOCVARIABLE ID01 </w:instrText>
      </w:r>
      <w:r w:rsidR="00B55E4F" w:rsidRPr="001B20FD">
        <w:fldChar w:fldCharType="separate"/>
      </w:r>
      <w:r w:rsidR="00F42094">
        <w:t>waterschapsverordening</w:t>
      </w:r>
      <w:r w:rsidR="00B55E4F" w:rsidRPr="001B20FD">
        <w:fldChar w:fldCharType="end"/>
      </w:r>
      <w:r w:rsidRPr="008D3C2B">
        <w:t xml:space="preserve">) dan wel uit de wijzigingen die worden aangebracht in de geconsolideerde artikelsgewijze toelichting (bij een besluit tot wijziging van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rPr>
          <w:rStyle w:val="Eindnootmarkering"/>
        </w:rPr>
        <w:endnoteReference w:id="4"/>
      </w:r>
      <w:r w:rsidRPr="008D3C2B">
        <w:t>). Dit deel zal dus overeenkomen met de artikelsgewijze toelichting zoals die bij wetten en verordeningen gebruikelijk is.</w:t>
      </w:r>
    </w:p>
    <w:p w14:paraId="6A2F7C36" w14:textId="453BE8CA" w:rsidR="00C171D2" w:rsidRPr="008D3C2B" w:rsidRDefault="00C171D2" w:rsidP="00C171D2">
      <w:pPr>
        <w:rPr>
          <w:szCs w:val="18"/>
        </w:rPr>
      </w:pPr>
      <w:r w:rsidRPr="008D3C2B">
        <w:t xml:space="preserve">Aan deze artikelsgewijze toelichting kan ook een algemene toelichting worden toegevoegd met bijvoorbeeld gegevens over </w:t>
      </w:r>
      <w:r w:rsidR="00823853">
        <w:t>het</w:t>
      </w:r>
      <w:r w:rsidR="00823853" w:rsidRPr="008D3C2B">
        <w:t xml:space="preserve"> </w:t>
      </w:r>
      <w:r w:rsidR="0078040B" w:rsidRPr="008D3C2B">
        <w:t>waterschap</w:t>
      </w:r>
      <w:r w:rsidRPr="008D3C2B">
        <w:t xml:space="preserve">. </w:t>
      </w:r>
      <w:r w:rsidRPr="008D3C2B">
        <w:rPr>
          <w:szCs w:val="18"/>
        </w:rPr>
        <w:t xml:space="preserve">Wanneer dat nodig is, kan bij een wijziging </w:t>
      </w:r>
      <w:r w:rsidRPr="008D3C2B">
        <w:rPr>
          <w:szCs w:val="18"/>
        </w:rPr>
        <w:lastRenderedPageBreak/>
        <w:t xml:space="preserve">van de regels van </w:t>
      </w:r>
      <w:r w:rsidRPr="001B20FD">
        <w:rPr>
          <w:szCs w:val="18"/>
        </w:rPr>
        <w:fldChar w:fldCharType="begin"/>
      </w:r>
      <w:r w:rsidRPr="008D3C2B">
        <w:rPr>
          <w:szCs w:val="18"/>
        </w:rPr>
        <w:instrText xml:space="preserve"> DOCVARIABLE ID01+ </w:instrText>
      </w:r>
      <w:r w:rsidRPr="001B20FD">
        <w:rPr>
          <w:szCs w:val="18"/>
        </w:rPr>
        <w:fldChar w:fldCharType="separate"/>
      </w:r>
      <w:r w:rsidR="00F42094">
        <w:rPr>
          <w:szCs w:val="18"/>
        </w:rPr>
        <w:t>de waterschapsverordening</w:t>
      </w:r>
      <w:r w:rsidRPr="001B20FD">
        <w:rPr>
          <w:szCs w:val="18"/>
        </w:rPr>
        <w:fldChar w:fldCharType="end"/>
      </w:r>
      <w:r w:rsidRPr="008D3C2B">
        <w:rPr>
          <w:szCs w:val="18"/>
        </w:rPr>
        <w:t xml:space="preserve"> ook de algemene toelichting worden geactualiseerd.</w:t>
      </w:r>
      <w:r w:rsidR="00B21D2B" w:rsidRPr="008D3C2B">
        <w:rPr>
          <w:szCs w:val="18"/>
        </w:rPr>
        <w:t xml:space="preserve"> </w:t>
      </w:r>
      <w:r w:rsidRPr="008D3C2B">
        <w:rPr>
          <w:szCs w:val="18"/>
        </w:rPr>
        <w:t>Als dat gewenst is kunnen ook aan dit deel bijlagen worden toegevoegd.</w:t>
      </w:r>
    </w:p>
    <w:p w14:paraId="3ABD04F3" w14:textId="77777777" w:rsidR="00C171D2" w:rsidRPr="008D3C2B" w:rsidRDefault="00C171D2" w:rsidP="00C171D2"/>
    <w:p w14:paraId="0073B63F" w14:textId="0CD647ED" w:rsidR="00C171D2" w:rsidRPr="008D3C2B" w:rsidRDefault="00C171D2" w:rsidP="00C171D2">
      <w:r w:rsidRPr="008D3C2B">
        <w:t xml:space="preserve">De besluitonderdelen zijn schematisch weer gegeven in </w:t>
      </w:r>
      <w:r w:rsidRPr="00A95539">
        <w:rPr>
          <w:rStyle w:val="Verwijzing"/>
        </w:rPr>
        <w:fldChar w:fldCharType="begin"/>
      </w:r>
      <w:r w:rsidRPr="00A95539">
        <w:rPr>
          <w:rStyle w:val="Verwijzing"/>
        </w:rPr>
        <w:instrText xml:space="preserve"> REF _Ref_117a9bd171aa4a40ff8f37dfaebef8f1_1 \n \h </w:instrText>
      </w:r>
      <w:r w:rsidRPr="00A95539">
        <w:rPr>
          <w:rStyle w:val="Verwijzing"/>
        </w:rPr>
      </w:r>
      <w:r w:rsidRPr="00A95539">
        <w:rPr>
          <w:rStyle w:val="Verwijzing"/>
        </w:rPr>
        <w:fldChar w:fldCharType="separate"/>
      </w:r>
      <w:r w:rsidR="00F42094" w:rsidRPr="00A95539">
        <w:rPr>
          <w:rStyle w:val="Verwijzing"/>
        </w:rPr>
        <w:t>Figuur 4</w:t>
      </w:r>
      <w:r w:rsidRPr="00A95539">
        <w:rPr>
          <w:rStyle w:val="Verwijzing"/>
        </w:rPr>
        <w:fldChar w:fldCharType="end"/>
      </w:r>
      <w:r w:rsidRPr="008D3C2B">
        <w:t>.</w:t>
      </w:r>
    </w:p>
    <w:p w14:paraId="72234BCD" w14:textId="77777777" w:rsidR="00C171D2" w:rsidRPr="008D3C2B" w:rsidRDefault="00C171D2" w:rsidP="00C171D2">
      <w:pPr>
        <w:pStyle w:val="Figuur"/>
      </w:pPr>
      <w:r>
        <w:rPr>
          <w:noProof/>
        </w:rPr>
        <w:drawing>
          <wp:inline distT="0" distB="0" distL="0" distR="0" wp14:anchorId="2C07255E" wp14:editId="05DC8250">
            <wp:extent cx="3225165" cy="1999615"/>
            <wp:effectExtent l="0" t="0" r="0" b="635"/>
            <wp:docPr id="58664984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24">
                      <a:extLst>
                        <a:ext uri="{28A0092B-C50C-407E-A947-70E740481C1C}">
                          <a14:useLocalDpi xmlns:a14="http://schemas.microsoft.com/office/drawing/2010/main" val="0"/>
                        </a:ext>
                      </a:extLst>
                    </a:blip>
                    <a:stretch>
                      <a:fillRect/>
                    </a:stretch>
                  </pic:blipFill>
                  <pic:spPr>
                    <a:xfrm>
                      <a:off x="0" y="0"/>
                      <a:ext cx="3225165" cy="1999615"/>
                    </a:xfrm>
                    <a:prstGeom prst="rect">
                      <a:avLst/>
                    </a:prstGeom>
                  </pic:spPr>
                </pic:pic>
              </a:graphicData>
            </a:graphic>
          </wp:inline>
        </w:drawing>
      </w:r>
    </w:p>
    <w:p w14:paraId="4F1FEB2A" w14:textId="65CCE92B" w:rsidR="00C171D2" w:rsidRDefault="00C171D2" w:rsidP="00C171D2">
      <w:pPr>
        <w:pStyle w:val="Figuurbijschrift"/>
        <w:tabs>
          <w:tab w:val="clear" w:pos="1134"/>
          <w:tab w:val="num" w:pos="992"/>
        </w:tabs>
        <w:spacing w:line="259" w:lineRule="auto"/>
      </w:pPr>
      <w:bookmarkStart w:id="51" w:name="_Ref_117a9bd171aa4a40ff8f37dfaebef8f1_1"/>
      <w:r w:rsidRPr="008D3C2B">
        <w:t>Schematische weergave besluitonderdelen</w:t>
      </w:r>
      <w:bookmarkEnd w:id="51"/>
    </w:p>
    <w:p w14:paraId="0119F4E3" w14:textId="6522FFEF" w:rsidR="00534030" w:rsidRPr="00534030" w:rsidRDefault="00534030" w:rsidP="00534030">
      <w:r w:rsidRPr="00534030">
        <w:t xml:space="preserve">In paragraaf </w:t>
      </w:r>
      <w:r w:rsidRPr="00A95539">
        <w:rPr>
          <w:rStyle w:val="Verwijzing"/>
        </w:rPr>
        <w:fldChar w:fldCharType="begin"/>
      </w:r>
      <w:r w:rsidRPr="00A95539">
        <w:rPr>
          <w:rStyle w:val="Verwijzing"/>
        </w:rPr>
        <w:instrText xml:space="preserve"> REF _Ref_d5c1b0ae675550630f15290e1d5f2aa9_1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7.2</w:t>
      </w:r>
      <w:r w:rsidRPr="00A95539">
        <w:rPr>
          <w:rStyle w:val="Verwijzing"/>
        </w:rPr>
        <w:fldChar w:fldCharType="end"/>
      </w:r>
      <w:r w:rsidRPr="00534030">
        <w:t xml:space="preserve"> wordt de toepassing voor omgevingsdocumenten van 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24" Type="http://schemas.openxmlformats.org/officeDocument/2006/relationships/image" Target="media/image_c9afe819bd4983a4158010d4ce526ad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