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4D958B1E" w:rsidR="004624F3" w:rsidRPr="00F62F31" w:rsidRDefault="00DC3F34" w:rsidP="004624F3">
      <w:pPr>
        <w:pStyle w:val="Kop4"/>
        <w:rPr>
          <w:noProof/>
        </w:rPr>
      </w:pPr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42094">
        <w:rPr>
          <w:noProof/>
        </w:rPr>
        <w:t>de waterschapsverordening</w:t>
      </w:r>
      <w:r>
        <w:rPr>
          <w:noProof/>
        </w:rPr>
        <w:fldChar w:fldCharType="end"/>
      </w:r>
    </w:p>
    <w:p w14:paraId="17EC0B1D" w14:textId="4E6F0186" w:rsidR="004624F3" w:rsidRPr="00F62F31" w:rsidRDefault="00DC3F34" w:rsidP="004624F3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