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4624F3" w:rsidRDefault="00DC3F34" w:rsidP="004624F3">
      <w:pPr>
        <w:pStyle w:val="Kop5"/>
      </w:pPr>
      <w:bookmarkStart w:id="147" w:name="_Ref_fcc510eee80c1a5a4badf79bab51d6be_1"/>
      <w:r>
        <w:t>Toelichting</w:t>
      </w:r>
      <w:r w:rsidRPr="00827453">
        <w:t xml:space="preserve"> op de toepassing</w:t>
      </w:r>
      <w:bookmarkEnd w:id="147"/>
    </w:p>
    <w:p w14:paraId="2603C5E7" w14:textId="27B20761" w:rsidR="004624F3" w:rsidRDefault="00DC3F34" w:rsidP="004624F3">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annotaties Activiteit, Omgevingsnorm, Omgevingswaarde en Gebiedsaanwijzing</w:t>
      </w:r>
      <w:r>
        <w:t xml:space="preserve">. Juridische regel is altijd onderdeel van een Regeltekst en, zoals we in de paragrafen </w:t>
      </w:r>
      <w:r w:rsidRPr="00A95539">
        <w:rPr>
          <w:rStyle w:val="Verwijzing"/>
        </w:rPr>
        <w:fldChar w:fldCharType="begin"/>
      </w:r>
      <w:r w:rsidRPr="00A95539">
        <w:rPr>
          <w:rStyle w:val="Verwijzing"/>
        </w:rPr>
        <w:instrText xml:space="preserve"> REF _Ref_486d93553ebc26ff0cbca619fe12392a_1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6.2.1</w:t>
      </w:r>
      <w:r w:rsidRPr="00A95539">
        <w:rPr>
          <w:rStyle w:val="Verwijzing"/>
        </w:rPr>
        <w:fldChar w:fldCharType="end"/>
      </w:r>
      <w:r>
        <w:t xml:space="preserve"> en </w:t>
      </w:r>
      <w:r w:rsidRPr="00A95539">
        <w:rPr>
          <w:rStyle w:val="Verwijzing"/>
        </w:rPr>
        <w:fldChar w:fldCharType="begin"/>
      </w:r>
      <w:r w:rsidRPr="00A95539">
        <w:rPr>
          <w:rStyle w:val="Verwijzing"/>
        </w:rPr>
        <w:instrText xml:space="preserve"> REF _Ref_5b3a6023c4732cefad98e44ed493db14_1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6.4.2</w:t>
      </w:r>
      <w:r w:rsidRPr="00A95539">
        <w:rPr>
          <w:rStyle w:val="Verwijzing"/>
        </w:rPr>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6709B1B4" w:rsidR="004624F3" w:rsidRPr="003B5414" w:rsidRDefault="00DC3F34" w:rsidP="004624F3">
      <w:r w:rsidRPr="003B5414">
        <w:t>Bij de Juridische regel kan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6C0E03E1" w:rsidR="004624F3" w:rsidRDefault="00DC3F34" w:rsidP="004624F3">
      <w:r w:rsidRPr="006C5384">
        <w:t xml:space="preserve">Met het IMOW-object </w:t>
      </w:r>
      <w:r>
        <w:t xml:space="preserve">Juridische regel </w:t>
      </w:r>
      <w:r w:rsidR="00FA4BEF">
        <w:t>moet</w:t>
      </w:r>
      <w:r w:rsidR="00FA4BEF" w:rsidRPr="006C5384">
        <w:t xml:space="preserve"> </w:t>
      </w:r>
      <w:r w:rsidRPr="006C5384">
        <w:t xml:space="preserve">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w:t>
      </w:r>
      <w:r w:rsidRPr="00C20EEA">
        <w:lastRenderedPageBreak/>
        <w:t xml:space="preserve">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4624F3" w:rsidRDefault="00DC3F34" w:rsidP="004624F3">
      <w:r>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4624F3" w:rsidRDefault="00DC3F34" w:rsidP="004624F3">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52F89CDE" w:rsidR="004624F3" w:rsidRDefault="00DC3F34" w:rsidP="004624F3">
      <w:r>
        <w:t>Bij Regeltekst is de voorwaarde opgenomen dat alle Juridische regels binnen één Regeltekst van hetzelfde type moeten zijn</w:t>
      </w:r>
      <w:r>
        <w:rPr>
          <w:rStyle w:val="Eindnootmarkering"/>
        </w:rPr>
        <w:endnoteReference w:id="22"/>
      </w:r>
      <w:r>
        <w:t xml:space="preserve">, zie hiervoor ook paragraaf </w:t>
      </w:r>
      <w:r w:rsidRPr="00A95539">
        <w:rPr>
          <w:rStyle w:val="Verwijzing"/>
        </w:rPr>
        <w:fldChar w:fldCharType="begin"/>
      </w:r>
      <w:r w:rsidRPr="00A95539">
        <w:rPr>
          <w:rStyle w:val="Verwijzing"/>
        </w:rPr>
        <w:instrText xml:space="preserve"> REF _Ref_5b3a6023c4732cefad98e44ed493db14_1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6.4.2</w:t>
      </w:r>
      <w:r w:rsidRPr="00A95539">
        <w:rPr>
          <w:rStyle w:val="Verwijzing"/>
        </w:rP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