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41F93" w14:textId="470B38C5" w:rsidR="004624F3" w:rsidRDefault="00DC3F34" w:rsidP="004624F3">
      <w:pPr>
        <w:pStyle w:val="Kop5"/>
      </w:pPr>
      <w:r>
        <w:t>Toelichting op de norm</w:t>
      </w:r>
    </w:p>
    <w:p w14:paraId="134C042D" w14:textId="4A254455" w:rsidR="004624F3" w:rsidRDefault="00DC3F34" w:rsidP="004624F3">
      <w:pPr>
        <w:pStyle w:val="Opsommingtekens1"/>
      </w:pPr>
      <w:r w:rsidRPr="00C06E4D">
        <w:rPr>
          <w:i/>
          <w:iCs/>
        </w:rPr>
        <w:t>niveau</w:t>
      </w:r>
      <w:r>
        <w:t xml:space="preserve">: het niveau bepaalt de volgorde waarin de kaartlagen worden opgebouwd. Niveau 1 is de onderste Kaartlaag, </w:t>
      </w:r>
      <w:r w:rsidR="003C31FC">
        <w:t xml:space="preserve">de hier op volgende </w:t>
      </w:r>
      <w:r>
        <w:t>kaartlagen worden daarboven geprojecteerd.</w:t>
      </w:r>
    </w:p>
    <w:p w14:paraId="491238A9" w14:textId="2CFBEBEE" w:rsidR="004624F3" w:rsidRPr="002E61C7" w:rsidRDefault="00DC3F34" w:rsidP="004624F3">
      <w:pPr>
        <w:pStyle w:val="Opsommingtekens1"/>
      </w:pPr>
      <w:r w:rsidRPr="00C06E4D">
        <w:rPr>
          <w:i/>
          <w:iCs/>
        </w:rPr>
        <w:t>activiteitlocatieweergave</w:t>
      </w:r>
      <w:r>
        <w:t xml:space="preserve">, </w:t>
      </w:r>
      <w:r w:rsidRPr="00C06E4D">
        <w:rPr>
          <w:i/>
          <w:iCs/>
        </w:rPr>
        <w:t>gebiedsaanwijzingweergave</w:t>
      </w:r>
      <w:r>
        <w:t xml:space="preserve">, </w:t>
      </w:r>
      <w:r w:rsidRPr="00C06E4D">
        <w:rPr>
          <w:i/>
          <w:iCs/>
        </w:rPr>
        <w:t>normweergave</w:t>
      </w:r>
      <w:r>
        <w:t xml:space="preserve">: de attributen die de verwijzing bevatten van de Kaartlaag </w:t>
      </w:r>
      <w:r w:rsidRPr="00CB2ECE">
        <w:t xml:space="preserve">naar de identificatie van </w:t>
      </w:r>
      <w:r>
        <w:t>een</w:t>
      </w:r>
      <w:r w:rsidRPr="00CB2ECE">
        <w:t xml:space="preserve"> specifieke Activiteit</w:t>
      </w:r>
      <w:r>
        <w:t>Locatieaanduiding</w:t>
      </w:r>
      <w:r w:rsidRPr="00CB2ECE">
        <w:t>, Gebiedsaanwijzing, Omgevingswaarde of Omgevingsnorm</w:t>
      </w:r>
      <w:r>
        <w:t xml:space="preserve">. Dit attribuut geeft aan welke van die objecten moet worden weergegeven op een bepaalde kaartlaag. Wanneer bij de specifieke </w:t>
      </w:r>
      <w:r w:rsidRPr="00C6049E">
        <w:t>ActiviteitLocatieaanduiding, Gebiedsaanwijzing, Omgevingswaarde of Omgevingsnorm</w:t>
      </w:r>
      <w:r>
        <w:t xml:space="preserve"> het </w:t>
      </w:r>
      <w:r w:rsidRPr="00C6049E">
        <w:t xml:space="preserve">attribuut </w:t>
      </w:r>
      <w:r w:rsidRPr="00C06E4D">
        <w:rPr>
          <w:i/>
          <w:iCs/>
        </w:rPr>
        <w:t>specifiekeSymbolisatie</w:t>
      </w:r>
      <w:r w:rsidRPr="00C6049E">
        <w:t xml:space="preserve"> gevuld is</w:t>
      </w:r>
      <w:r>
        <w:t xml:space="preserve">, wordt het object op de kaartlaag weergegeven met de door het bevoegd gezag gekozen symbolisatie. Wanneer het </w:t>
      </w:r>
      <w:r w:rsidRPr="00723F1B">
        <w:t xml:space="preserve">attribuut </w:t>
      </w:r>
      <w:r w:rsidRPr="00C06E4D">
        <w:rPr>
          <w:i/>
          <w:iCs/>
        </w:rPr>
        <w:t>specifiekeSymbolisatie</w:t>
      </w:r>
      <w:r w:rsidRPr="00723F1B">
        <w:t xml:space="preserve"> </w:t>
      </w:r>
      <w:r>
        <w:t xml:space="preserve">niet </w:t>
      </w:r>
      <w:r w:rsidRPr="00723F1B">
        <w:t>gevuld is, wordt het object op de kaartlaag weergegeven met</w:t>
      </w:r>
      <w:r>
        <w:t xml:space="preserve"> de standaardweergave van de </w:t>
      </w:r>
      <w:r w:rsidRPr="004E5945">
        <w:t xml:space="preserve">groep </w:t>
      </w:r>
      <w:r>
        <w:t>die bij het specifieke object is aangegeven.</w:t>
      </w:r>
      <w:r w:rsidR="00CF7336">
        <w:br/>
      </w:r>
      <w:r w:rsidR="002E61C7" w:rsidRPr="00FF5607">
        <w:t xml:space="preserve">Let op: in de 1.1-versie van de TPOD-standaard gaat het attribuut </w:t>
      </w:r>
      <w:r w:rsidR="002E61C7" w:rsidRPr="00FF5607">
        <w:rPr>
          <w:i/>
          <w:iCs/>
        </w:rPr>
        <w:t>specifiekeSymbolisatie</w:t>
      </w:r>
      <w:r w:rsidR="002E61C7" w:rsidRPr="00FF5607">
        <w:t xml:space="preserve"> vervallen. Het wordt dan vervangen door het objecttype SymbolisatieItem, zie paragraaf </w:t>
      </w:r>
      <w:r w:rsidR="002E61C7" w:rsidRPr="00A95539">
        <w:rPr>
          <w:rStyle w:val="Verwijzing"/>
        </w:rPr>
        <w:fldChar w:fldCharType="begin"/>
      </w:r>
      <w:r w:rsidR="002E61C7" w:rsidRPr="00A95539">
        <w:rPr>
          <w:rStyle w:val="Verwijzing"/>
        </w:rPr>
        <w:instrText xml:space="preserve"> REF _Ref_848aa3a4c277b00b729a862026d8a73e_1 </w:instrText>
      </w:r>
      <w:r w:rsidR="007E50DF" w:rsidRPr="00A95539">
        <w:rPr>
          <w:rStyle w:val="Verwijzing"/>
        </w:rPr>
        <w:instrText>\n \h</w:instrText>
      </w:r>
      <w:r w:rsidR="002E61C7" w:rsidRPr="00A95539">
        <w:rPr>
          <w:rStyle w:val="Verwijzing"/>
        </w:rPr>
        <w:instrText xml:space="preserve">  \* MERGEFORMAT </w:instrText>
      </w:r>
      <w:r w:rsidR="002E61C7" w:rsidRPr="00A95539">
        <w:rPr>
          <w:rStyle w:val="Verwijzing"/>
        </w:rPr>
      </w:r>
      <w:r w:rsidR="002E61C7" w:rsidRPr="00A95539">
        <w:rPr>
          <w:rStyle w:val="Verwijzing"/>
        </w:rPr>
        <w:fldChar w:fldCharType="separate"/>
      </w:r>
      <w:r w:rsidR="00F42094" w:rsidRPr="00A95539">
        <w:rPr>
          <w:rStyle w:val="Verwijzing"/>
        </w:rPr>
        <w:t>6.4.29</w:t>
      </w:r>
      <w:r w:rsidR="002E61C7" w:rsidRPr="00A95539">
        <w:rPr>
          <w:rStyle w:val="Verwijzing"/>
        </w:rPr>
        <w:fldChar w:fldCharType="end"/>
      </w:r>
      <w:r w:rsidR="002E61C7" w:rsidRPr="00FF5607">
        <w:t xml:space="preserve">. Daarom wordt dringend geadviseerd om, indien het wenselijk wordt geacht om met een eigen symbolisatie te werken, geen gebruik te maken van het attribuut </w:t>
      </w:r>
      <w:r w:rsidR="002E61C7" w:rsidRPr="00FF5607">
        <w:rPr>
          <w:i/>
          <w:iCs/>
        </w:rPr>
        <w:t>specifiekeSymbolisatie</w:t>
      </w:r>
      <w:r w:rsidR="002E61C7" w:rsidRPr="00FF5607">
        <w:t xml:space="preserve"> maar van het objecttype SymbolisatieItem. In dat geval geldt dat wanneer gebruik is gemaakt van het objecttype SymbolisatieItem, de specifieke ActiviteitLocatieaanduiding, Gebiedsaanwijzing, Omgevingswaarde of Omgevingsnorm op de kaartlaag wordt weergegeven met de door het bevoegd gezag gekozen symbolisatie. Wanneer geen gebruik is gemaakt van het objecttype SymbolisatieItem, wordt het object op de kaartlaag weergegeven met de standaardweergave van de groep die bij het specifieke object is aangegeven.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