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AE11" w14:textId="77777777" w:rsidR="00F01681" w:rsidRDefault="00F01681" w:rsidP="00F01681">
      <w:pPr>
        <w:pStyle w:val="Kop5"/>
      </w:pPr>
      <w:r>
        <w:t>Toelichting op de norm</w:t>
      </w:r>
    </w:p>
    <w:p w14:paraId="24276A1D" w14:textId="27186A74" w:rsidR="00F01681" w:rsidRDefault="00F01681" w:rsidP="00F01681">
      <w:pPr>
        <w:pStyle w:val="Opsommingtekens1"/>
      </w:pPr>
      <w:r w:rsidRPr="006F6DD6">
        <w:rPr>
          <w:i/>
          <w:iCs/>
        </w:rPr>
        <w:t>symboolcode</w:t>
      </w:r>
      <w:r>
        <w:t xml:space="preserve">: het attribuut waarmee de gekozen symboolcode wordt vastgelegd. Het bevoegd gezag kiest de symboolcode uit de </w:t>
      </w:r>
      <w:r w:rsidR="00C407E4">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6F6DD6">
        <w:rPr>
          <w:i/>
          <w:iCs/>
        </w:rPr>
        <w:t>groep</w:t>
      </w:r>
      <w:r>
        <w:t>.</w:t>
      </w:r>
    </w:p>
    <w:p w14:paraId="1D79A7D6" w14:textId="0F00FCA3" w:rsidR="008C7C1B" w:rsidRPr="0047317F" w:rsidRDefault="00F01681" w:rsidP="00D96F0C">
      <w:pPr>
        <w:pStyle w:val="Opsommingtekens1"/>
      </w:pPr>
      <w:r w:rsidRPr="006F6DD6">
        <w:rPr>
          <w:i/>
          <w:iCs/>
        </w:rPr>
        <w:t>activiteitLocatieaanduidingSymbolisatie</w:t>
      </w:r>
      <w:r>
        <w:t xml:space="preserve">, </w:t>
      </w:r>
      <w:r w:rsidRPr="006F6DD6">
        <w:rPr>
          <w:i/>
          <w:iCs/>
        </w:rPr>
        <w:t>gebiedsaanwijzingSymbolisatie</w:t>
      </w:r>
      <w:r>
        <w:t xml:space="preserve">, </w:t>
      </w:r>
      <w:r w:rsidRPr="006F6DD6">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6F6DD6">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6F6DD6">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6F6DD6">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