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2D90" w14:textId="5F1BD861" w:rsidR="002E3F4D" w:rsidRDefault="002E3F4D" w:rsidP="00595C4A">
      <w:pPr>
        <w:pStyle w:val="Kop4"/>
      </w:pPr>
      <w:r>
        <w:t>Algemeen</w:t>
      </w:r>
    </w:p>
    <w:p w14:paraId="0DC24B89" w14:textId="0C81C019" w:rsidR="00A95539" w:rsidRDefault="00051D6C" w:rsidP="00051D6C">
      <w:r>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aan de LVBB aangeleverd. Nadat het bevoegd gezag het besluit heeft genomen en ter bekendmaking heeft aangeleverd, is voor een aantal instrumenten de procedure afgelopen. In het geval van een instrument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w:t>
      </w:r>
      <w:r>
        <w:lastRenderedPageBreak/>
        <w:t>informatie over de procedure en informatie voor de consolidatie nodig. Het bevoegd gezag levert die informatie deels aan samen met de aanlevering van de besluitversie; deels moet het die informatie in een later stadium aanleveren. Een volledig overzicht van de aan te leveren gegevens is te vinden in de STOP-documentatie.</w:t>
      </w:r>
    </w:p>
    <w:p w14:paraId="29719126" w14:textId="71D88B40" w:rsidR="00051D6C" w:rsidRDefault="00051D6C" w:rsidP="00051D6C"/>
    <w:p w14:paraId="4984D7C9" w14:textId="68B33ED8" w:rsidR="00A95539" w:rsidRDefault="00051D6C" w:rsidP="00051D6C">
      <w:r>
        <w:t xml:space="preserve"> 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w:t>
      </w:r>
      <w:r w:rsidR="00464FDD">
        <w:t xml:space="preserve"> en</w:t>
      </w:r>
      <w:r>
        <w:t xml:space="preserve"> het soort Regeling (oftewel om welk type omgevingsdocument gaat het). Vervolgens moet de soort procedure worden gekozen. Aangegeven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2A13C232" w14:textId="0857094C" w:rsidR="00051D6C" w:rsidRDefault="00051D6C" w:rsidP="004624F3">
      <w:r>
        <w:t xml:space="preserve">Aan de hand van de soort procedure bepaalt de LVBB welke consolidatiemethode op het besluit wordt toegepast. De LVBB stelt de proefconsolidatie van het ontwerpbesluit respectievelijk de geconsolideerde Regeling </w:t>
      </w:r>
      <w:r w:rsidR="003828E3">
        <w:t xml:space="preserve">(bij een definitief besluit) </w:t>
      </w:r>
      <w:r>
        <w:t>beschikbaar voor DSO-LV en levert de IMOW-objecten door aan DSO-LV. Uiteraard moet DSO-LV weten of de aangeleverde IMOW-objecten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