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commentRangeStart w:id="1"/>
    <w:p w14:paraId="71B2719B" w14:textId="7B23F04D" w:rsidR="0031108E" w:rsidRPr="00E742A3" w:rsidRDefault="00017FEA" w:rsidP="00E742A3">
      <w:pPr>
        <w:pStyle w:val="Titel"/>
      </w:pPr>
      <w:r>
        <w:fldChar w:fldCharType="begin"/>
      </w:r>
      <w:r>
        <w:instrText xml:space="preserve"> TITLE </w:instrText>
      </w:r>
      <w:r>
        <w:fldChar w:fldCharType="separate"/>
      </w:r>
      <w:r w:rsidR="00360253">
        <w:t>Voorbereidingsbesluit Gemeentestad</w:t>
      </w:r>
      <w:r>
        <w:fldChar w:fldCharType="end"/>
      </w:r>
      <w:commentRangeEnd w:id="0"/>
      <w:commentRangeEnd w:id="1"/>
      <w:r w:rsidR="00360253">
        <w:rPr>
          <w:rStyle w:val="Verwijzingopmerking"/>
          <w:rFonts w:eastAsiaTheme="minorHAnsi" w:cstheme="minorBidi"/>
          <w:b w:val="0"/>
          <w:spacing w:val="0"/>
          <w:kern w:val="0"/>
        </w:rPr>
        <w:commentReference w:id="1"/>
      </w:r>
      <w:r w:rsidR="00360253">
        <w:rPr>
          <w:rStyle w:val="Verwijzingopmerking"/>
          <w:rFonts w:eastAsiaTheme="minorHAnsi" w:cstheme="minorBidi"/>
          <w:b w:val="0"/>
          <w:spacing w:val="0"/>
          <w:kern w:val="0"/>
        </w:rPr>
        <w:commentReference w:id="0"/>
      </w:r>
    </w:p>
    <w:p w14:paraId="2767D00E" w14:textId="77777777" w:rsidR="00360253" w:rsidRDefault="00360253" w:rsidP="00360253">
      <w:r>
        <w:t>De raad van de gemeente Gemeentestad,</w:t>
      </w:r>
    </w:p>
    <w:p w14:paraId="54A576A3" w14:textId="77777777" w:rsidR="00360253" w:rsidRDefault="00360253" w:rsidP="00360253"/>
    <w:p w14:paraId="6AC524FA" w14:textId="77777777" w:rsidR="00360253" w:rsidRDefault="00360253" w:rsidP="00360253">
      <w:r>
        <w:t>gelezen het raadsvoorstel d.d. 28 november 2021, nr 119-2021,</w:t>
      </w:r>
    </w:p>
    <w:p w14:paraId="28287BE4" w14:textId="77777777" w:rsidR="00360253" w:rsidRDefault="00360253" w:rsidP="00360253"/>
    <w:p w14:paraId="3425910D" w14:textId="77777777" w:rsidR="00360253" w:rsidRDefault="00360253" w:rsidP="00360253">
      <w:r>
        <w:t>overwegende dat het wenselijk is om te voorkomen dat de locaties die tot dit voorbereidingsbesluit behoren, minder geschikt worden voor de verwezenlijking van het doel van de in het omgevingsplan te stellen regels;</w:t>
      </w:r>
    </w:p>
    <w:p w14:paraId="203A748B" w14:textId="77777777" w:rsidR="00360253" w:rsidRDefault="00360253" w:rsidP="00360253"/>
    <w:p w14:paraId="7D95C3A5" w14:textId="77777777" w:rsidR="00360253" w:rsidRDefault="00360253" w:rsidP="00360253">
      <w:r>
        <w:t>gelet op de bepalingen van artikel 4.14 Omgevingswet;</w:t>
      </w:r>
    </w:p>
    <w:p w14:paraId="757F9842" w14:textId="77777777" w:rsidR="00360253" w:rsidRDefault="00360253" w:rsidP="00360253"/>
    <w:p w14:paraId="3B011DFA" w14:textId="77777777" w:rsidR="00360253" w:rsidRDefault="00360253" w:rsidP="00360253">
      <w:r>
        <w:t>besluit:</w:t>
      </w:r>
    </w:p>
    <w:p w14:paraId="34E7DF5B" w14:textId="77777777" w:rsidR="00360253" w:rsidRDefault="00360253" w:rsidP="00360253"/>
    <w:p w14:paraId="7E670A7B" w14:textId="49CFCF7E" w:rsidR="00360253" w:rsidRDefault="00360253" w:rsidP="00360253">
      <w:r>
        <w:t>Artikel I</w:t>
      </w:r>
    </w:p>
    <w:p w14:paraId="7A8EA741" w14:textId="5209FF34" w:rsidR="00360253" w:rsidRDefault="00360253" w:rsidP="00360253">
      <w:r>
        <w:t>Met het oog op in het omgevingsplan te stellen regels wordt een wijziging van het omgevingsplan voorbereid.</w:t>
      </w:r>
    </w:p>
    <w:p w14:paraId="4DB35350" w14:textId="77777777" w:rsidR="00360253" w:rsidRDefault="00360253" w:rsidP="00360253"/>
    <w:p w14:paraId="3D2BED51" w14:textId="05635347" w:rsidR="00360253" w:rsidRDefault="00360253" w:rsidP="00360253">
      <w:r>
        <w:t>Artikel I</w:t>
      </w:r>
    </w:p>
    <w:p w14:paraId="74126F59" w14:textId="593C01A9" w:rsidR="00360253" w:rsidRDefault="00360253" w:rsidP="00360253">
      <w:r>
        <w:t>Voor het omgevingsplan gelden de voorbeschermingsregels die zijn vastgelegd in bijlage I.</w:t>
      </w:r>
    </w:p>
    <w:p w14:paraId="0246A5A4" w14:textId="77777777" w:rsidR="00360253" w:rsidRDefault="00360253" w:rsidP="00360253"/>
    <w:p w14:paraId="53163D7B" w14:textId="4E7E6B76" w:rsidR="00360253" w:rsidRDefault="00360253" w:rsidP="00360253">
      <w:r>
        <w:t>Artikel I</w:t>
      </w:r>
    </w:p>
    <w:p w14:paraId="0E662C01" w14:textId="17417678" w:rsidR="00360253" w:rsidRDefault="00360253" w:rsidP="00360253">
      <w:r>
        <w:t>Dit voorbereidingsbesluit treedt in werking op de dag waarop het bekend wordt gemaakt;</w:t>
      </w:r>
    </w:p>
    <w:p w14:paraId="00B2C9B4" w14:textId="77777777" w:rsidR="00360253" w:rsidRDefault="00360253" w:rsidP="00360253"/>
    <w:p w14:paraId="65F0BFBA" w14:textId="77777777" w:rsidR="00360253" w:rsidRDefault="00360253" w:rsidP="00360253">
      <w:r>
        <w:t>Aldus besloten in de vergadering d.d. …</w:t>
      </w:r>
    </w:p>
    <w:p w14:paraId="5FF82B65" w14:textId="77777777" w:rsidR="00360253" w:rsidRDefault="00360253" w:rsidP="00360253">
      <w:r>
        <w:t>De griffier,</w:t>
      </w:r>
      <w:r>
        <w:tab/>
        <w:t>De voorzitter,</w:t>
      </w:r>
    </w:p>
    <w:p w14:paraId="4EA5AB6A" w14:textId="77777777" w:rsidR="00360253" w:rsidRDefault="00360253" w:rsidP="00360253"/>
    <w:p w14:paraId="5E76C379" w14:textId="70AB05AF" w:rsidR="00360253" w:rsidRDefault="00360253" w:rsidP="00360253">
      <w:pPr>
        <w:pStyle w:val="Kop1"/>
      </w:pPr>
      <w:r>
        <w:lastRenderedPageBreak/>
        <w:t>Hoofdstuk 1</w:t>
      </w:r>
      <w:r>
        <w:tab/>
      </w:r>
      <w:r>
        <w:t>Voorbeschermingsregels</w:t>
      </w:r>
    </w:p>
    <w:p w14:paraId="0D35F03F" w14:textId="3FBB5BE6" w:rsidR="00360253" w:rsidRDefault="00360253" w:rsidP="00360253">
      <w:pPr>
        <w:pStyle w:val="Kop6"/>
      </w:pPr>
      <w:r>
        <w:t>Artikel 1.1</w:t>
      </w:r>
      <w:r>
        <w:tab/>
      </w:r>
      <w:r>
        <w:t>Voorrangsbepaling</w:t>
      </w:r>
    </w:p>
    <w:p w14:paraId="694E5AF4" w14:textId="77777777" w:rsidR="00360253" w:rsidRDefault="00360253" w:rsidP="00360253">
      <w:r>
        <w:t>In aanvulling op en/of in afwijking van de bepalingen in het omgevingsplan gelden de navolgende voorbeschermingsregels. Voorzover deze voorbeschermingsregels afwijken van de regels van het omgevingsplan gelden alleen de voorbeschermingsregels.</w:t>
      </w:r>
    </w:p>
    <w:p w14:paraId="7E043A13" w14:textId="330A9AD7" w:rsidR="00360253" w:rsidRDefault="00360253" w:rsidP="00360253">
      <w:pPr>
        <w:pStyle w:val="Kop6"/>
      </w:pPr>
      <w:r>
        <w:t>Artikel 1.2</w:t>
      </w:r>
      <w:r>
        <w:tab/>
      </w:r>
      <w:r>
        <w:t>Vergunningplicht karakteristieke panden</w:t>
      </w:r>
    </w:p>
    <w:p w14:paraId="0334D947" w14:textId="76EA7A4B" w:rsidR="00360253" w:rsidRDefault="00360253" w:rsidP="00360253">
      <w:pPr>
        <w:pStyle w:val="Lidmetnummering"/>
      </w:pPr>
      <w:r>
        <w:t>1.</w:t>
      </w:r>
      <w:r>
        <w:tab/>
      </w:r>
      <w:r>
        <w:t>Vergunningplicht</w:t>
      </w:r>
    </w:p>
    <w:p w14:paraId="1D801B56" w14:textId="77777777" w:rsidR="00360253" w:rsidRDefault="00360253" w:rsidP="00360253">
      <w:r>
        <w:t>Ter plaatse van het werkingsgebied van de functie 'Karakteristiek gebouw' is het vanwege de cultuurhistorische waarde van het gebouw verboden om zonder omgevingsvergunning het gebouw te slopen.</w:t>
      </w:r>
    </w:p>
    <w:p w14:paraId="56A581F8" w14:textId="088E29E9" w:rsidR="00360253" w:rsidRDefault="00360253" w:rsidP="00360253">
      <w:pPr>
        <w:pStyle w:val="Lidmetnummering"/>
      </w:pPr>
      <w:r>
        <w:t>2.</w:t>
      </w:r>
      <w:r>
        <w:tab/>
      </w:r>
      <w:r>
        <w:t>Uitzondering vergunningplicht</w:t>
      </w:r>
    </w:p>
    <w:p w14:paraId="2677DBC4" w14:textId="77777777" w:rsidR="00360253" w:rsidRDefault="00360253" w:rsidP="00360253">
      <w:r>
        <w:t>Het verbod van dit artikel geldt niet voor:</w:t>
      </w:r>
    </w:p>
    <w:p w14:paraId="5F36AB6B" w14:textId="77777777" w:rsidR="00360253" w:rsidRDefault="00360253" w:rsidP="00360253">
      <w:pPr>
        <w:pStyle w:val="Opsommingmetnummering"/>
      </w:pPr>
      <w:r>
        <w:t>a.</w:t>
      </w:r>
      <w:r>
        <w:tab/>
        <w:t>slopen op grond van een maatwerkvoorschrift of van een besluit tot oplegging van een last onder bestuursdwang of last onder dwangsom;</w:t>
      </w:r>
    </w:p>
    <w:p w14:paraId="4F5B1112" w14:textId="77777777" w:rsidR="00360253" w:rsidRDefault="00360253" w:rsidP="00360253">
      <w:pPr>
        <w:pStyle w:val="Opsommingmetnummering"/>
      </w:pPr>
      <w:r>
        <w:t>b.</w:t>
      </w:r>
      <w:r>
        <w:tab/>
        <w:t>sloopwerkzaamheden die in redelijkheid kunnen worden aangemerkt als sloopwerkzaamheden van ondergeschikte aard en omvang, zodat enige wezenlijke invloed op de cultuurhistorisch waardevolle bebouwing niet te verwachten is;</w:t>
      </w:r>
    </w:p>
    <w:p w14:paraId="73AABA46" w14:textId="77777777" w:rsidR="00360253" w:rsidRDefault="00360253" w:rsidP="00360253">
      <w:pPr>
        <w:pStyle w:val="Opsommingmetnummering"/>
      </w:pPr>
      <w:r>
        <w:t>c.</w:t>
      </w:r>
      <w:r>
        <w:tab/>
        <w:t>sloopwerkzaamheden waarvoor voorafgaand aan het inwerkingtreden van dit voorbereidingsbesluit een omgevingsvergunning is verleend.</w:t>
      </w:r>
    </w:p>
    <w:p w14:paraId="77B90E5B" w14:textId="52D709DA" w:rsidR="00360253" w:rsidRDefault="00360253" w:rsidP="00360253">
      <w:pPr>
        <w:pStyle w:val="Kop6"/>
      </w:pPr>
      <w:r>
        <w:t>Artikel 1.3</w:t>
      </w:r>
      <w:r>
        <w:tab/>
      </w:r>
      <w:r>
        <w:t>Beoordelingsregels</w:t>
      </w:r>
    </w:p>
    <w:p w14:paraId="1168ADE0" w14:textId="77777777" w:rsidR="00360253" w:rsidRDefault="00360253" w:rsidP="00360253">
      <w:r>
        <w:t>De in artikel 1.2 bedoelde omgevingsvergunning wordt alleen verleend in de volgende gevallen:</w:t>
      </w:r>
    </w:p>
    <w:p w14:paraId="77E324BE" w14:textId="77777777" w:rsidR="00360253" w:rsidRDefault="00360253" w:rsidP="00360253">
      <w:pPr>
        <w:pStyle w:val="Opsommingmetnummering"/>
      </w:pPr>
      <w:r>
        <w:t>a.</w:t>
      </w:r>
      <w:r>
        <w:tab/>
        <w:t>het betreft een onderdeel van het gebouw dat niet of in onvoldoende mate bepalend is voor de cultuurhistorische waarde van het gebouw;</w:t>
      </w:r>
    </w:p>
    <w:p w14:paraId="600579F8" w14:textId="77777777" w:rsidR="00360253" w:rsidRDefault="00360253" w:rsidP="00360253">
      <w:pPr>
        <w:pStyle w:val="Opsommingmetnummering"/>
      </w:pPr>
      <w:r>
        <w:t>b.</w:t>
      </w:r>
      <w:r>
        <w:tab/>
        <w:t>uit onderbouwing van de aanvraag blijkt dat handhaving van het gebouw redelijkerwijs niet kan worden geëist, gezien de huidige bouwkundige en/of gebruikstechnische staat van het gebouw in verhouding tot de waardedaling en de kosten van renovatie. De aanvrager dient daartoe bij de aanvraag om omgevingsvergunning een deskundigenrapport te overleggen dat ingaat op de genoemde aspecten.</w:t>
      </w:r>
    </w:p>
    <w:p w14:paraId="4D24FD21" w14:textId="3FEA6BC7" w:rsidR="00360253" w:rsidRDefault="00360253" w:rsidP="00360253">
      <w:pPr>
        <w:pStyle w:val="Kop6"/>
      </w:pPr>
      <w:r>
        <w:t>Artikel 1.4</w:t>
      </w:r>
      <w:r>
        <w:tab/>
      </w:r>
      <w:r>
        <w:t>Advies</w:t>
      </w:r>
    </w:p>
    <w:p w14:paraId="1F0FB342" w14:textId="77777777" w:rsidR="00360253" w:rsidRDefault="00360253" w:rsidP="00360253">
      <w:r>
        <w:t>Alvorens de in artikel 1.1 bedoelde omgevingsvergunning te verlenen vraagt het bevoegd gezag advies aan de gemeentelijke monumentencommissie over de aanvraag en de toepassing van de beoordelingsregels van artikel 1.3.</w:t>
      </w:r>
    </w:p>
    <w:p w14:paraId="385C9D67" w14:textId="64470799" w:rsidR="00360253" w:rsidRDefault="00360253" w:rsidP="00360253">
      <w:pPr>
        <w:pStyle w:val="Kop6"/>
      </w:pPr>
      <w:r>
        <w:t>Artikel 1.5</w:t>
      </w:r>
      <w:r>
        <w:tab/>
      </w:r>
      <w:r>
        <w:t>Buitentoepassingverklaring</w:t>
      </w:r>
    </w:p>
    <w:p w14:paraId="2AA66D74" w14:textId="62ED6F32" w:rsidR="00360253" w:rsidRDefault="00360253" w:rsidP="00360253">
      <w:r>
        <w:t>De bepalingen over het verrichten van de sloopactiviteit van artikel 5.81 van het omgevingsplan worden voor het gebied van dit voorbereidingsbesluit buiten toepassing verklaard.</w:t>
      </w:r>
    </w:p>
    <w:p w14:paraId="6C3ACF7B" w14:textId="3038F57F" w:rsidR="00360253" w:rsidRDefault="00360253" w:rsidP="00360253">
      <w:pPr>
        <w:pStyle w:val="Kop6"/>
      </w:pPr>
      <w:r>
        <w:t>Artikel 1.6</w:t>
      </w:r>
      <w:r>
        <w:tab/>
      </w:r>
      <w:r>
        <w:t>Bevoegdheid tot verbinden voorschriften aan omgevingsvergunning</w:t>
      </w:r>
    </w:p>
    <w:p w14:paraId="27369107" w14:textId="77777777" w:rsidR="00360253" w:rsidRDefault="00360253" w:rsidP="00360253">
      <w:r>
        <w:t>Het bevoegd gezag kan aan een omgevingsvergunning als bedoeld in artikel 1.1 de voorschriften verbinden die met het oog op het behoud van de cultuurhistorische waarde van het gebouw noodzakelijk zijn.</w:t>
      </w:r>
    </w:p>
    <w:p w14:paraId="73669062" w14:textId="639B9B73" w:rsidR="00360253" w:rsidRDefault="00360253" w:rsidP="00360253">
      <w:pPr>
        <w:pStyle w:val="Kop6"/>
      </w:pPr>
      <w:r>
        <w:lastRenderedPageBreak/>
        <w:t>Artikel 1.7</w:t>
      </w:r>
      <w:r>
        <w:tab/>
      </w:r>
      <w:r>
        <w:t>Bevoegdheid tot stellen maatwerkvoorschriften</w:t>
      </w:r>
    </w:p>
    <w:p w14:paraId="65BD463C" w14:textId="63A78043" w:rsidR="002D104C" w:rsidRPr="00E742A3" w:rsidRDefault="00360253" w:rsidP="00E742A3">
      <w:r>
        <w:t>Het bevoegd gezag kan nmaatwerkvoorschriften stellen wanneer dat met het oog op het behoud van de cultuurhistorische waarde van een gebouw ter plaatse van het werkingsgebied van de functie ‘Karakteristiek gebouw’ noodzakelijk is.</w:t>
      </w:r>
    </w:p>
    <w:sectPr w:rsidR="002D104C" w:rsidRPr="00E742A3"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erard Wolbers" w:date="2020-05-11T13:08:00Z" w:initials="GW">
    <w:tbl>
      <w:tblPr>
        <w:tblStyle w:val="Annotatie"/>
        <w:tblW w:w="5000" w:type="pct"/>
        <w:tblLayout w:type="fixed"/>
        <w:tblLook w:val="0620" w:firstRow="1" w:lastRow="0" w:firstColumn="0" w:lastColumn="0" w:noHBand="1" w:noVBand="1"/>
      </w:tblPr>
      <w:tblGrid>
        <w:gridCol w:w="3963"/>
        <w:gridCol w:w="3964"/>
      </w:tblGrid>
      <w:tr w:rsidR="00360253" w:rsidRPr="00642BD7" w14:paraId="640FD643" w14:textId="77777777" w:rsidTr="007C7D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672553" w14:textId="77777777" w:rsidR="00360253" w:rsidRPr="00642BD7" w:rsidRDefault="00360253" w:rsidP="001977CC">
            <w:r>
              <w:rPr>
                <w:rStyle w:val="Verwijzingopmerking"/>
              </w:rPr>
              <w:annotationRef/>
            </w:r>
            <w:r>
              <w:t>Procedure</w:t>
            </w:r>
          </w:p>
        </w:tc>
      </w:tr>
      <w:tr w:rsidR="00360253" w:rsidRPr="00642BD7" w14:paraId="4C6E5C5E" w14:textId="77777777" w:rsidTr="007C7DA1">
        <w:tc>
          <w:tcPr>
            <w:tcW w:w="2500" w:type="pct"/>
          </w:tcPr>
          <w:p w14:paraId="4E9BC4DF" w14:textId="77777777" w:rsidR="00360253" w:rsidRPr="007C7DA1" w:rsidRDefault="00360253" w:rsidP="00AE0DAE">
            <w:r>
              <w:t>bekendOp</w:t>
            </w:r>
          </w:p>
        </w:tc>
        <w:tc>
          <w:tcPr>
            <w:tcW w:w="2500" w:type="pct"/>
          </w:tcPr>
          <w:p w14:paraId="48DC7481" w14:textId="20BB2313" w:rsidR="00360253" w:rsidRPr="009B5427" w:rsidRDefault="00360253" w:rsidP="00AE0DAE">
            <w:r>
              <w:t>2020-05-11</w:t>
            </w:r>
          </w:p>
        </w:tc>
      </w:tr>
      <w:tr w:rsidR="00360253" w:rsidRPr="00642BD7" w14:paraId="48C1E346" w14:textId="77777777" w:rsidTr="007C7DA1">
        <w:tc>
          <w:tcPr>
            <w:tcW w:w="2500" w:type="pct"/>
          </w:tcPr>
          <w:p w14:paraId="40DA6461" w14:textId="77777777" w:rsidR="00360253" w:rsidRPr="007C7DA1" w:rsidRDefault="00360253" w:rsidP="00AE0DAE">
            <w:r>
              <w:t>ontvangenOp</w:t>
            </w:r>
          </w:p>
        </w:tc>
        <w:tc>
          <w:tcPr>
            <w:tcW w:w="2500" w:type="pct"/>
          </w:tcPr>
          <w:p w14:paraId="1549BC1A" w14:textId="3A458FC5" w:rsidR="00360253" w:rsidRDefault="00360253" w:rsidP="00AE0DAE">
            <w:r>
              <w:t>2020-05-11</w:t>
            </w:r>
          </w:p>
        </w:tc>
      </w:tr>
      <w:tr w:rsidR="00360253" w:rsidRPr="00642BD7" w14:paraId="32C42FC0" w14:textId="77777777" w:rsidTr="007C7DA1">
        <w:tc>
          <w:tcPr>
            <w:tcW w:w="2500" w:type="pct"/>
          </w:tcPr>
          <w:p w14:paraId="5138C640" w14:textId="77777777" w:rsidR="00360253" w:rsidRPr="007C7DA1" w:rsidRDefault="00360253" w:rsidP="007C7DA1">
            <w:r>
              <w:t>aanbieden ter vaststelling</w:t>
            </w:r>
          </w:p>
        </w:tc>
        <w:tc>
          <w:tcPr>
            <w:tcW w:w="2500" w:type="pct"/>
          </w:tcPr>
          <w:p w14:paraId="0A1A6C94" w14:textId="0DA90A07" w:rsidR="00360253" w:rsidRPr="007C7DA1" w:rsidRDefault="00360253" w:rsidP="007C7DA1">
            <w:r>
              <w:t>2020-05-11</w:t>
            </w:r>
          </w:p>
        </w:tc>
      </w:tr>
      <w:tr w:rsidR="00360253" w:rsidRPr="00642BD7" w14:paraId="3B959FE5" w14:textId="77777777" w:rsidTr="007C7DA1">
        <w:tc>
          <w:tcPr>
            <w:tcW w:w="2500" w:type="pct"/>
          </w:tcPr>
          <w:p w14:paraId="2B68A541" w14:textId="77777777" w:rsidR="00360253" w:rsidRPr="007C7DA1" w:rsidRDefault="00360253" w:rsidP="007C7DA1">
            <w:r>
              <w:t>vaststelling</w:t>
            </w:r>
          </w:p>
        </w:tc>
        <w:tc>
          <w:tcPr>
            <w:tcW w:w="2500" w:type="pct"/>
          </w:tcPr>
          <w:p w14:paraId="6898738C" w14:textId="77F1911A" w:rsidR="00360253" w:rsidRPr="007C7DA1" w:rsidRDefault="00360253" w:rsidP="007C7DA1">
            <w:r>
              <w:t>2020-06-01</w:t>
            </w:r>
          </w:p>
        </w:tc>
      </w:tr>
      <w:tr w:rsidR="00360253" w:rsidRPr="00642BD7" w14:paraId="52F7A986" w14:textId="77777777" w:rsidTr="007C7DA1">
        <w:tc>
          <w:tcPr>
            <w:tcW w:w="2500" w:type="pct"/>
          </w:tcPr>
          <w:p w14:paraId="7623EC74" w14:textId="77777777" w:rsidR="00360253" w:rsidRPr="007C7DA1" w:rsidRDefault="00360253" w:rsidP="00AE0DAE">
            <w:r>
              <w:t>ondertekening</w:t>
            </w:r>
          </w:p>
        </w:tc>
        <w:tc>
          <w:tcPr>
            <w:tcW w:w="2500" w:type="pct"/>
          </w:tcPr>
          <w:p w14:paraId="5B331D4B" w14:textId="09589580" w:rsidR="00360253" w:rsidRDefault="00360253" w:rsidP="00AE0DAE">
            <w:r>
              <w:t>2020-06-01</w:t>
            </w:r>
          </w:p>
        </w:tc>
      </w:tr>
      <w:tr w:rsidR="00360253" w:rsidRPr="00642BD7" w14:paraId="03C60596" w14:textId="77777777" w:rsidTr="007C7DA1">
        <w:tc>
          <w:tcPr>
            <w:tcW w:w="2500" w:type="pct"/>
          </w:tcPr>
          <w:p w14:paraId="022F6D60" w14:textId="77777777" w:rsidR="00360253" w:rsidRPr="007C7DA1" w:rsidRDefault="00360253" w:rsidP="00AE0DAE">
            <w:r>
              <w:t>publicatie</w:t>
            </w:r>
          </w:p>
        </w:tc>
        <w:tc>
          <w:tcPr>
            <w:tcW w:w="2500" w:type="pct"/>
          </w:tcPr>
          <w:p w14:paraId="70839A5E" w14:textId="77777777" w:rsidR="00360253" w:rsidRDefault="00360253" w:rsidP="00AE0DAE"/>
        </w:tc>
      </w:tr>
      <w:tr w:rsidR="00360253" w:rsidRPr="00642BD7" w14:paraId="6C6F842D" w14:textId="77777777" w:rsidTr="007C7DA1">
        <w:tc>
          <w:tcPr>
            <w:tcW w:w="2500" w:type="pct"/>
          </w:tcPr>
          <w:p w14:paraId="5ED0F23B" w14:textId="77777777" w:rsidR="00360253" w:rsidRPr="007C7DA1" w:rsidRDefault="00360253" w:rsidP="00AE0DAE">
            <w:r>
              <w:t>onherroepelijk</w:t>
            </w:r>
          </w:p>
        </w:tc>
        <w:tc>
          <w:tcPr>
            <w:tcW w:w="2500" w:type="pct"/>
          </w:tcPr>
          <w:p w14:paraId="10E997C1" w14:textId="77777777" w:rsidR="00360253" w:rsidRDefault="00360253" w:rsidP="00AE0DAE"/>
        </w:tc>
      </w:tr>
      <w:tr w:rsidR="00360253" w:rsidRPr="00642BD7" w14:paraId="50C3723E" w14:textId="77777777" w:rsidTr="007C7DA1">
        <w:tc>
          <w:tcPr>
            <w:tcW w:w="2500" w:type="pct"/>
          </w:tcPr>
          <w:p w14:paraId="0D2EB3FA" w14:textId="77777777" w:rsidR="00360253" w:rsidRPr="007C7DA1" w:rsidRDefault="00360253" w:rsidP="00AE0DAE">
            <w:r w:rsidRPr="00AE0DAE">
              <w:t>vernietiging</w:t>
            </w:r>
          </w:p>
        </w:tc>
        <w:tc>
          <w:tcPr>
            <w:tcW w:w="2500" w:type="pct"/>
          </w:tcPr>
          <w:p w14:paraId="53BB3A96" w14:textId="77777777" w:rsidR="00360253" w:rsidRDefault="00360253" w:rsidP="00AE0DAE"/>
        </w:tc>
      </w:tr>
      <w:tr w:rsidR="00360253" w:rsidRPr="00642BD7" w14:paraId="7265737F" w14:textId="77777777" w:rsidTr="007C7DA1">
        <w:tc>
          <w:tcPr>
            <w:tcW w:w="2500" w:type="pct"/>
          </w:tcPr>
          <w:p w14:paraId="7502A7FC" w14:textId="77777777" w:rsidR="00360253" w:rsidRPr="007C7DA1" w:rsidRDefault="00360253" w:rsidP="00AE0DAE">
            <w:r w:rsidRPr="00AE0DAE">
              <w:t>vernietiging met instandhouding van rechtsgevolgen</w:t>
            </w:r>
          </w:p>
        </w:tc>
        <w:tc>
          <w:tcPr>
            <w:tcW w:w="2500" w:type="pct"/>
          </w:tcPr>
          <w:p w14:paraId="01F36B3B" w14:textId="77777777" w:rsidR="00360253" w:rsidRDefault="00360253" w:rsidP="00AE0DAE"/>
        </w:tc>
      </w:tr>
      <w:tr w:rsidR="00360253" w:rsidRPr="00642BD7" w14:paraId="2D8EC746" w14:textId="77777777" w:rsidTr="007C7DA1">
        <w:tc>
          <w:tcPr>
            <w:tcW w:w="2500" w:type="pct"/>
          </w:tcPr>
          <w:p w14:paraId="390CD0C4" w14:textId="77777777" w:rsidR="00360253" w:rsidRPr="00B36B02" w:rsidRDefault="00360253" w:rsidP="00AE0DAE">
            <w:r w:rsidRPr="00AE0DAE">
              <w:t>gedeeltelijke vernietiging</w:t>
            </w:r>
          </w:p>
        </w:tc>
        <w:tc>
          <w:tcPr>
            <w:tcW w:w="2500" w:type="pct"/>
          </w:tcPr>
          <w:p w14:paraId="3BB1C2E6" w14:textId="77777777" w:rsidR="00360253" w:rsidRDefault="00360253" w:rsidP="00AE0DAE"/>
        </w:tc>
      </w:tr>
      <w:tr w:rsidR="00360253" w:rsidRPr="00642BD7" w14:paraId="73B7E16B" w14:textId="77777777" w:rsidTr="007C7DA1">
        <w:tc>
          <w:tcPr>
            <w:tcW w:w="2500" w:type="pct"/>
          </w:tcPr>
          <w:p w14:paraId="597F9A7A" w14:textId="77777777" w:rsidR="00360253" w:rsidRPr="007C7DA1" w:rsidRDefault="00360253" w:rsidP="00AE0DAE">
            <w:r w:rsidRPr="00AE0DAE">
              <w:t>gedeeltelijke vernietiging met instandhouding van rechtsgevolgen</w:t>
            </w:r>
          </w:p>
        </w:tc>
        <w:tc>
          <w:tcPr>
            <w:tcW w:w="2500" w:type="pct"/>
          </w:tcPr>
          <w:p w14:paraId="0F561031" w14:textId="77777777" w:rsidR="00360253" w:rsidRDefault="00360253" w:rsidP="00AE0DAE"/>
        </w:tc>
      </w:tr>
      <w:tr w:rsidR="00360253" w:rsidRPr="00642BD7" w14:paraId="5A0AACB0" w14:textId="77777777" w:rsidTr="007C7DA1">
        <w:tc>
          <w:tcPr>
            <w:tcW w:w="2500" w:type="pct"/>
          </w:tcPr>
          <w:p w14:paraId="704FB9DC" w14:textId="77777777" w:rsidR="00360253" w:rsidRPr="007C7DA1" w:rsidRDefault="00360253" w:rsidP="00AE0DAE">
            <w:r w:rsidRPr="00AE0DAE">
              <w:t>opschorting</w:t>
            </w:r>
          </w:p>
        </w:tc>
        <w:tc>
          <w:tcPr>
            <w:tcW w:w="2500" w:type="pct"/>
          </w:tcPr>
          <w:p w14:paraId="3D9A0DA8" w14:textId="77777777" w:rsidR="00360253" w:rsidRDefault="00360253" w:rsidP="00AE0DAE"/>
        </w:tc>
      </w:tr>
      <w:tr w:rsidR="00360253" w:rsidRPr="00642BD7" w14:paraId="4AC5FF0C" w14:textId="77777777" w:rsidTr="007C7DA1">
        <w:tc>
          <w:tcPr>
            <w:tcW w:w="2500" w:type="pct"/>
          </w:tcPr>
          <w:p w14:paraId="668FC0CA" w14:textId="77777777" w:rsidR="00360253" w:rsidRPr="007C7DA1" w:rsidRDefault="00360253" w:rsidP="00AE0DAE">
            <w:r w:rsidRPr="00AE0DAE">
              <w:t>einde opschorting</w:t>
            </w:r>
          </w:p>
        </w:tc>
        <w:tc>
          <w:tcPr>
            <w:tcW w:w="2500" w:type="pct"/>
          </w:tcPr>
          <w:p w14:paraId="33E3F1F4" w14:textId="77777777" w:rsidR="00360253" w:rsidRDefault="00360253" w:rsidP="00AE0DAE"/>
        </w:tc>
      </w:tr>
    </w:tbl>
    <w:p w14:paraId="5A55DD0F" w14:textId="28D64E4C" w:rsidR="00360253" w:rsidRDefault="00360253">
      <w:pPr>
        <w:pStyle w:val="Tekstopmerking"/>
      </w:pPr>
    </w:p>
  </w:comment>
  <w:comment w:id="0" w:author="Gerard Wolbers" w:date="2020-05-11T13:05:00Z" w:initials="GW">
    <w:tbl>
      <w:tblPr>
        <w:tblStyle w:val="Annotatie"/>
        <w:tblW w:w="5000" w:type="pct"/>
        <w:tblLayout w:type="fixed"/>
        <w:tblLook w:val="0620" w:firstRow="1" w:lastRow="0" w:firstColumn="0" w:lastColumn="0" w:noHBand="1" w:noVBand="1"/>
      </w:tblPr>
      <w:tblGrid>
        <w:gridCol w:w="3963"/>
        <w:gridCol w:w="3964"/>
      </w:tblGrid>
      <w:tr w:rsidR="00360253" w:rsidRPr="00642BD7" w14:paraId="676BB8C7"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32797E" w14:textId="77777777" w:rsidR="00360253" w:rsidRPr="00642BD7" w:rsidRDefault="00360253" w:rsidP="001977CC">
            <w:r>
              <w:rPr>
                <w:rStyle w:val="Verwijzingopmerking"/>
              </w:rPr>
              <w:annotationRef/>
            </w:r>
            <w:r w:rsidRPr="00642BD7">
              <w:t>Document</w:t>
            </w:r>
          </w:p>
        </w:tc>
      </w:tr>
      <w:tr w:rsidR="00360253" w:rsidRPr="00642BD7" w14:paraId="52277CC4" w14:textId="77777777" w:rsidTr="0061561E">
        <w:tc>
          <w:tcPr>
            <w:tcW w:w="2500" w:type="pct"/>
          </w:tcPr>
          <w:p w14:paraId="2A9C9A9D" w14:textId="77777777" w:rsidR="00360253" w:rsidRPr="007C7DA1" w:rsidRDefault="00360253" w:rsidP="007C7DA1">
            <w:r>
              <w:t>idWerk</w:t>
            </w:r>
          </w:p>
        </w:tc>
        <w:tc>
          <w:tcPr>
            <w:tcW w:w="2500" w:type="pct"/>
          </w:tcPr>
          <w:p w14:paraId="54E4373A" w14:textId="0477857E" w:rsidR="00360253" w:rsidRPr="007C7DA1" w:rsidRDefault="00360253" w:rsidP="007C7DA1">
            <w:r>
              <w:t>VBG0001</w:t>
            </w:r>
          </w:p>
        </w:tc>
      </w:tr>
      <w:tr w:rsidR="00360253" w:rsidRPr="00642BD7" w14:paraId="0A3DA86B" w14:textId="77777777" w:rsidTr="0061561E">
        <w:tc>
          <w:tcPr>
            <w:tcW w:w="2500" w:type="pct"/>
          </w:tcPr>
          <w:p w14:paraId="4FEA5D18" w14:textId="77777777" w:rsidR="00360253" w:rsidRPr="007C7DA1" w:rsidRDefault="00360253" w:rsidP="007C7DA1">
            <w:r>
              <w:t>versieSTOP</w:t>
            </w:r>
          </w:p>
        </w:tc>
        <w:tc>
          <w:tcPr>
            <w:tcW w:w="2500" w:type="pct"/>
          </w:tcPr>
          <w:p w14:paraId="6D023F27" w14:textId="7848F7EE" w:rsidR="00360253" w:rsidRPr="007C7DA1" w:rsidRDefault="00360253" w:rsidP="007C7DA1">
            <w:r>
              <w:t>0.98.3-kern</w:t>
            </w:r>
          </w:p>
        </w:tc>
      </w:tr>
      <w:tr w:rsidR="00360253" w:rsidRPr="00642BD7" w14:paraId="4132AD16" w14:textId="77777777" w:rsidTr="0061561E">
        <w:tc>
          <w:tcPr>
            <w:tcW w:w="2500" w:type="pct"/>
          </w:tcPr>
          <w:p w14:paraId="7A72BE0D" w14:textId="77777777" w:rsidR="00360253" w:rsidRPr="007C7DA1" w:rsidRDefault="00360253" w:rsidP="007C7DA1">
            <w:r>
              <w:t>versieTPOD</w:t>
            </w:r>
          </w:p>
        </w:tc>
        <w:tc>
          <w:tcPr>
            <w:tcW w:w="2500" w:type="pct"/>
          </w:tcPr>
          <w:p w14:paraId="1EF1E6DF" w14:textId="225C5867" w:rsidR="00360253" w:rsidRPr="007C7DA1" w:rsidRDefault="00360253" w:rsidP="007C7DA1">
            <w:r>
              <w:t>0.98.3-kern</w:t>
            </w:r>
          </w:p>
        </w:tc>
      </w:tr>
      <w:tr w:rsidR="00360253" w:rsidRPr="00642BD7" w14:paraId="5455C3AA" w14:textId="77777777" w:rsidTr="0061561E">
        <w:tc>
          <w:tcPr>
            <w:tcW w:w="2500" w:type="pct"/>
          </w:tcPr>
          <w:p w14:paraId="5027080C" w14:textId="77777777" w:rsidR="00360253" w:rsidRPr="007C7DA1" w:rsidRDefault="00360253" w:rsidP="007C7DA1">
            <w:r>
              <w:t>officieleTitel</w:t>
            </w:r>
          </w:p>
        </w:tc>
        <w:tc>
          <w:tcPr>
            <w:tcW w:w="2500" w:type="pct"/>
          </w:tcPr>
          <w:p w14:paraId="046C9326" w14:textId="749B6A71" w:rsidR="00360253" w:rsidRPr="007C7DA1" w:rsidRDefault="00360253" w:rsidP="007C7DA1">
            <w:r>
              <w:t>Voorbereidingsbesluit Gemeentestad</w:t>
            </w:r>
          </w:p>
        </w:tc>
      </w:tr>
      <w:tr w:rsidR="00360253" w:rsidRPr="00642BD7" w14:paraId="478271D7" w14:textId="77777777" w:rsidTr="0061561E">
        <w:tc>
          <w:tcPr>
            <w:tcW w:w="2500" w:type="pct"/>
          </w:tcPr>
          <w:p w14:paraId="794026B3" w14:textId="77777777" w:rsidR="00360253" w:rsidRPr="007C7DA1" w:rsidRDefault="00360253" w:rsidP="007C7DA1">
            <w:r>
              <w:t>redactioneleTitel</w:t>
            </w:r>
          </w:p>
        </w:tc>
        <w:tc>
          <w:tcPr>
            <w:tcW w:w="2500" w:type="pct"/>
          </w:tcPr>
          <w:p w14:paraId="2D1987FB" w14:textId="094F67D1" w:rsidR="00360253" w:rsidRPr="007C7DA1" w:rsidRDefault="00360253" w:rsidP="007C7DA1">
            <w:r>
              <w:t>Voorbereidingsbesluit Gemeentestad</w:t>
            </w:r>
          </w:p>
        </w:tc>
      </w:tr>
      <w:tr w:rsidR="00360253" w:rsidRPr="00642BD7" w14:paraId="5BDCC9FE" w14:textId="77777777" w:rsidTr="0061561E">
        <w:tc>
          <w:tcPr>
            <w:tcW w:w="2500" w:type="pct"/>
          </w:tcPr>
          <w:p w14:paraId="72560DC8" w14:textId="77777777" w:rsidR="00360253" w:rsidRPr="007C7DA1" w:rsidRDefault="00360253" w:rsidP="007C7DA1">
            <w:r>
              <w:t>typeDocument</w:t>
            </w:r>
          </w:p>
        </w:tc>
        <w:tc>
          <w:tcPr>
            <w:tcW w:w="2500" w:type="pct"/>
          </w:tcPr>
          <w:p w14:paraId="6A5BB933" w14:textId="49AB378E" w:rsidR="00360253" w:rsidRPr="007C7DA1" w:rsidRDefault="00360253" w:rsidP="007C7DA1">
            <w:r>
              <w:t>voorbereidingsbesluit</w:t>
            </w:r>
          </w:p>
        </w:tc>
      </w:tr>
      <w:tr w:rsidR="00360253" w:rsidRPr="00642BD7" w14:paraId="301EC9AC" w14:textId="77777777" w:rsidTr="0061561E">
        <w:tc>
          <w:tcPr>
            <w:tcW w:w="2500" w:type="pct"/>
          </w:tcPr>
          <w:p w14:paraId="403E07C4" w14:textId="77777777" w:rsidR="00360253" w:rsidRPr="007C7DA1" w:rsidRDefault="00360253" w:rsidP="007C7DA1">
            <w:r w:rsidRPr="007C7DA1">
              <w:t>versie</w:t>
            </w:r>
            <w:r>
              <w:t>Document</w:t>
            </w:r>
          </w:p>
        </w:tc>
        <w:tc>
          <w:tcPr>
            <w:tcW w:w="2500" w:type="pct"/>
          </w:tcPr>
          <w:p w14:paraId="26BCB2A9" w14:textId="487F2A36" w:rsidR="00360253" w:rsidRPr="007C7DA1" w:rsidRDefault="00360253" w:rsidP="007C7DA1">
            <w:r>
              <w:t>1.0</w:t>
            </w:r>
          </w:p>
        </w:tc>
      </w:tr>
      <w:tr w:rsidR="00360253" w:rsidRPr="00642BD7" w14:paraId="406D9B12" w14:textId="77777777" w:rsidTr="0061561E">
        <w:tc>
          <w:tcPr>
            <w:tcW w:w="2500" w:type="pct"/>
          </w:tcPr>
          <w:p w14:paraId="282BA1E1" w14:textId="77777777" w:rsidR="00360253" w:rsidRPr="007C7DA1" w:rsidRDefault="00360253" w:rsidP="007C7DA1">
            <w:r>
              <w:t>overheidsdomein</w:t>
            </w:r>
          </w:p>
        </w:tc>
        <w:tc>
          <w:tcPr>
            <w:tcW w:w="2500" w:type="pct"/>
          </w:tcPr>
          <w:p w14:paraId="2CEDF8C6" w14:textId="328D7357" w:rsidR="00360253" w:rsidRPr="007C7DA1" w:rsidRDefault="00360253" w:rsidP="007C7DA1">
            <w:r>
              <w:t>geen</w:t>
            </w:r>
          </w:p>
        </w:tc>
      </w:tr>
      <w:tr w:rsidR="00360253" w:rsidRPr="00642BD7" w14:paraId="0A36F127" w14:textId="77777777" w:rsidTr="0061561E">
        <w:tc>
          <w:tcPr>
            <w:tcW w:w="2500" w:type="pct"/>
          </w:tcPr>
          <w:p w14:paraId="47E2E4E5" w14:textId="77777777" w:rsidR="00360253" w:rsidRPr="00B36B02" w:rsidRDefault="00360253" w:rsidP="00E742A3">
            <w:r>
              <w:t>onderwerpen</w:t>
            </w:r>
          </w:p>
        </w:tc>
        <w:tc>
          <w:tcPr>
            <w:tcW w:w="2500" w:type="pct"/>
          </w:tcPr>
          <w:p w14:paraId="6673F97C" w14:textId="34452A95" w:rsidR="00360253" w:rsidRDefault="00360253" w:rsidP="00E742A3">
            <w:r>
              <w:t>geen</w:t>
            </w:r>
          </w:p>
        </w:tc>
      </w:tr>
      <w:tr w:rsidR="00360253" w:rsidRPr="00642BD7" w14:paraId="2B257B13" w14:textId="77777777" w:rsidTr="0061561E">
        <w:tc>
          <w:tcPr>
            <w:tcW w:w="2500" w:type="pct"/>
          </w:tcPr>
          <w:p w14:paraId="78CE163E" w14:textId="77777777" w:rsidR="00360253" w:rsidRPr="007C7DA1" w:rsidRDefault="00360253" w:rsidP="007C7DA1">
            <w:r>
              <w:t>rechtsgebieden</w:t>
            </w:r>
          </w:p>
        </w:tc>
        <w:tc>
          <w:tcPr>
            <w:tcW w:w="2500" w:type="pct"/>
          </w:tcPr>
          <w:p w14:paraId="153847C1" w14:textId="1EE35B2F" w:rsidR="00360253" w:rsidRPr="007C7DA1" w:rsidRDefault="00360253" w:rsidP="007C7DA1">
            <w:r>
              <w:t>geen</w:t>
            </w:r>
          </w:p>
        </w:tc>
      </w:tr>
      <w:tr w:rsidR="00360253" w:rsidRPr="00642BD7" w14:paraId="2D383529" w14:textId="77777777" w:rsidTr="0061561E">
        <w:tc>
          <w:tcPr>
            <w:tcW w:w="2500" w:type="pct"/>
          </w:tcPr>
          <w:p w14:paraId="57EF5813" w14:textId="77777777" w:rsidR="00360253" w:rsidRPr="007C7DA1" w:rsidRDefault="00360253" w:rsidP="007C7DA1">
            <w:r>
              <w:t>typeOrganisatie</w:t>
            </w:r>
          </w:p>
        </w:tc>
        <w:tc>
          <w:tcPr>
            <w:tcW w:w="2500" w:type="pct"/>
          </w:tcPr>
          <w:p w14:paraId="1412B862" w14:textId="60EE17FA" w:rsidR="00360253" w:rsidRPr="007C7DA1" w:rsidRDefault="00360253" w:rsidP="007C7DA1">
            <w:r>
              <w:t>gemeente</w:t>
            </w:r>
          </w:p>
        </w:tc>
      </w:tr>
      <w:tr w:rsidR="00360253" w:rsidRPr="00642BD7" w14:paraId="435D42F9" w14:textId="77777777" w:rsidTr="0061561E">
        <w:tc>
          <w:tcPr>
            <w:tcW w:w="2500" w:type="pct"/>
          </w:tcPr>
          <w:p w14:paraId="605C2A27" w14:textId="77777777" w:rsidR="00360253" w:rsidRPr="007C7DA1" w:rsidRDefault="00360253" w:rsidP="007C7DA1">
            <w:r>
              <w:t>idOrganisatie</w:t>
            </w:r>
          </w:p>
        </w:tc>
        <w:tc>
          <w:tcPr>
            <w:tcW w:w="2500" w:type="pct"/>
          </w:tcPr>
          <w:p w14:paraId="4ACA0637" w14:textId="291ABCBF" w:rsidR="00360253" w:rsidRPr="007C7DA1" w:rsidRDefault="00360253" w:rsidP="007C7DA1">
            <w:r>
              <w:t>gm0037</w:t>
            </w:r>
          </w:p>
        </w:tc>
      </w:tr>
    </w:tbl>
    <w:p w14:paraId="6BDF1FDF" w14:textId="77777777" w:rsidR="00360253" w:rsidRDefault="00360253">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55DD0F" w15:done="0"/>
  <w15:commentEx w15:paraId="6BDF1F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CB8" w16cex:dateUtc="2020-05-11T11:08:00Z"/>
  <w16cex:commentExtensible w16cex:durableId="2263CC16" w16cex:dateUtc="2020-05-11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55DD0F" w16cid:durableId="2263CCB8"/>
  <w16cid:commentId w16cid:paraId="6BDF1FDF" w16cid:durableId="2263CC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7685B" w14:textId="77777777" w:rsidR="00017FEA" w:rsidRDefault="00017FEA" w:rsidP="002F250F">
      <w:pPr>
        <w:spacing w:line="240" w:lineRule="auto"/>
      </w:pPr>
      <w:r>
        <w:separator/>
      </w:r>
    </w:p>
  </w:endnote>
  <w:endnote w:type="continuationSeparator" w:id="0">
    <w:p w14:paraId="7B6FD6C6" w14:textId="77777777" w:rsidR="00017FEA" w:rsidRDefault="00017FEA"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3AC31" w14:textId="77777777" w:rsidR="00360253" w:rsidRDefault="00360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487C4" w14:textId="0BB045EE" w:rsidR="00974A16" w:rsidRDefault="00017FEA">
    <w:pPr>
      <w:pStyle w:val="Voettekst"/>
    </w:pPr>
    <w:r>
      <w:fldChar w:fldCharType="begin"/>
    </w:r>
    <w:r>
      <w:instrText xml:space="preserve"> TITLE  </w:instrText>
    </w:r>
    <w:r>
      <w:fldChar w:fldCharType="separate"/>
    </w:r>
    <w:r w:rsidR="00360253">
      <w:t>Voorbereidingsbesluit Gemeentestad</w:t>
    </w:r>
    <w:r>
      <w:fldChar w:fldCharType="end"/>
    </w:r>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D3D4D" w14:textId="77777777" w:rsidR="00360253" w:rsidRDefault="0036025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070FD" w14:textId="77777777" w:rsidR="00017FEA" w:rsidRDefault="00017FEA" w:rsidP="002F250F">
      <w:pPr>
        <w:spacing w:line="240" w:lineRule="auto"/>
      </w:pPr>
      <w:r>
        <w:separator/>
      </w:r>
    </w:p>
  </w:footnote>
  <w:footnote w:type="continuationSeparator" w:id="0">
    <w:p w14:paraId="61B6E132" w14:textId="77777777" w:rsidR="00017FEA" w:rsidRDefault="00017FEA"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AE18E" w14:textId="77777777" w:rsidR="00360253" w:rsidRDefault="0036025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0BE9E" w14:textId="77777777" w:rsidR="00360253" w:rsidRDefault="0036025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945B8" w14:textId="77777777" w:rsidR="00360253" w:rsidRDefault="0036025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53"/>
    <w:rsid w:val="0001679F"/>
    <w:rsid w:val="00017FEA"/>
    <w:rsid w:val="00020F94"/>
    <w:rsid w:val="00024628"/>
    <w:rsid w:val="00031342"/>
    <w:rsid w:val="00045DE8"/>
    <w:rsid w:val="00070B3D"/>
    <w:rsid w:val="00071E4B"/>
    <w:rsid w:val="000809BC"/>
    <w:rsid w:val="000A64EB"/>
    <w:rsid w:val="000B24B0"/>
    <w:rsid w:val="000B47DF"/>
    <w:rsid w:val="000D0330"/>
    <w:rsid w:val="000D17D1"/>
    <w:rsid w:val="000E59F7"/>
    <w:rsid w:val="000F5FA4"/>
    <w:rsid w:val="00115E3D"/>
    <w:rsid w:val="00137B27"/>
    <w:rsid w:val="00150D95"/>
    <w:rsid w:val="001576BA"/>
    <w:rsid w:val="00163EDC"/>
    <w:rsid w:val="0017617B"/>
    <w:rsid w:val="0018661E"/>
    <w:rsid w:val="00186DCE"/>
    <w:rsid w:val="001A729A"/>
    <w:rsid w:val="001B1AA6"/>
    <w:rsid w:val="001C242C"/>
    <w:rsid w:val="001C51E7"/>
    <w:rsid w:val="001C7FCF"/>
    <w:rsid w:val="001D506D"/>
    <w:rsid w:val="001D63BA"/>
    <w:rsid w:val="001E26E1"/>
    <w:rsid w:val="001E4A5F"/>
    <w:rsid w:val="001E4B5A"/>
    <w:rsid w:val="001E5FE4"/>
    <w:rsid w:val="001F17F8"/>
    <w:rsid w:val="001F3DDA"/>
    <w:rsid w:val="001F6BDC"/>
    <w:rsid w:val="00202FFD"/>
    <w:rsid w:val="0021440A"/>
    <w:rsid w:val="00225125"/>
    <w:rsid w:val="00231834"/>
    <w:rsid w:val="00241890"/>
    <w:rsid w:val="00246EC4"/>
    <w:rsid w:val="002500AD"/>
    <w:rsid w:val="00272A52"/>
    <w:rsid w:val="002739B8"/>
    <w:rsid w:val="0029651E"/>
    <w:rsid w:val="002A0191"/>
    <w:rsid w:val="002D104C"/>
    <w:rsid w:val="002E4589"/>
    <w:rsid w:val="002F250F"/>
    <w:rsid w:val="002F2A6D"/>
    <w:rsid w:val="0031108E"/>
    <w:rsid w:val="00320996"/>
    <w:rsid w:val="00321A1A"/>
    <w:rsid w:val="00333278"/>
    <w:rsid w:val="00346F38"/>
    <w:rsid w:val="00360253"/>
    <w:rsid w:val="0038060D"/>
    <w:rsid w:val="00383DCA"/>
    <w:rsid w:val="00391836"/>
    <w:rsid w:val="00391CDA"/>
    <w:rsid w:val="00397E46"/>
    <w:rsid w:val="003A184A"/>
    <w:rsid w:val="003A5525"/>
    <w:rsid w:val="003C339A"/>
    <w:rsid w:val="003D490E"/>
    <w:rsid w:val="0040417C"/>
    <w:rsid w:val="00405BF0"/>
    <w:rsid w:val="00411C71"/>
    <w:rsid w:val="004274F9"/>
    <w:rsid w:val="00432FAB"/>
    <w:rsid w:val="0044497B"/>
    <w:rsid w:val="004503BA"/>
    <w:rsid w:val="0045224C"/>
    <w:rsid w:val="004742D3"/>
    <w:rsid w:val="00487468"/>
    <w:rsid w:val="00497466"/>
    <w:rsid w:val="004B1FA5"/>
    <w:rsid w:val="004B40D8"/>
    <w:rsid w:val="004C111E"/>
    <w:rsid w:val="004C5478"/>
    <w:rsid w:val="004C603C"/>
    <w:rsid w:val="004D6DE5"/>
    <w:rsid w:val="004E7E16"/>
    <w:rsid w:val="00502B25"/>
    <w:rsid w:val="00511F41"/>
    <w:rsid w:val="00512057"/>
    <w:rsid w:val="00526966"/>
    <w:rsid w:val="00535A76"/>
    <w:rsid w:val="00536600"/>
    <w:rsid w:val="00541607"/>
    <w:rsid w:val="005514A7"/>
    <w:rsid w:val="00570024"/>
    <w:rsid w:val="00582A63"/>
    <w:rsid w:val="005A5E97"/>
    <w:rsid w:val="005C5089"/>
    <w:rsid w:val="005D0361"/>
    <w:rsid w:val="005F639D"/>
    <w:rsid w:val="00605F21"/>
    <w:rsid w:val="00615F4F"/>
    <w:rsid w:val="006222E1"/>
    <w:rsid w:val="00622DC4"/>
    <w:rsid w:val="006252F3"/>
    <w:rsid w:val="00630D3A"/>
    <w:rsid w:val="00631B60"/>
    <w:rsid w:val="00645F51"/>
    <w:rsid w:val="00661585"/>
    <w:rsid w:val="00661779"/>
    <w:rsid w:val="00680D99"/>
    <w:rsid w:val="006A3537"/>
    <w:rsid w:val="006B404E"/>
    <w:rsid w:val="006C76E7"/>
    <w:rsid w:val="0072414E"/>
    <w:rsid w:val="00731CF9"/>
    <w:rsid w:val="007332DF"/>
    <w:rsid w:val="00772E45"/>
    <w:rsid w:val="0078130C"/>
    <w:rsid w:val="00781F70"/>
    <w:rsid w:val="0078273B"/>
    <w:rsid w:val="00792F53"/>
    <w:rsid w:val="007A6455"/>
    <w:rsid w:val="007C4F03"/>
    <w:rsid w:val="007D6C5D"/>
    <w:rsid w:val="007D793D"/>
    <w:rsid w:val="007F3219"/>
    <w:rsid w:val="007F6988"/>
    <w:rsid w:val="008030FB"/>
    <w:rsid w:val="008104DA"/>
    <w:rsid w:val="00810DEB"/>
    <w:rsid w:val="00823035"/>
    <w:rsid w:val="00827B03"/>
    <w:rsid w:val="00844199"/>
    <w:rsid w:val="0085320F"/>
    <w:rsid w:val="00854452"/>
    <w:rsid w:val="0088252A"/>
    <w:rsid w:val="00890696"/>
    <w:rsid w:val="0089638D"/>
    <w:rsid w:val="008A775C"/>
    <w:rsid w:val="008C529B"/>
    <w:rsid w:val="008C70D6"/>
    <w:rsid w:val="008C7182"/>
    <w:rsid w:val="008D757A"/>
    <w:rsid w:val="008E4F57"/>
    <w:rsid w:val="008E5673"/>
    <w:rsid w:val="008F6C4F"/>
    <w:rsid w:val="00902F32"/>
    <w:rsid w:val="00912364"/>
    <w:rsid w:val="009148BA"/>
    <w:rsid w:val="00925BE4"/>
    <w:rsid w:val="009271A8"/>
    <w:rsid w:val="00932FC4"/>
    <w:rsid w:val="00950013"/>
    <w:rsid w:val="00965E71"/>
    <w:rsid w:val="00974A16"/>
    <w:rsid w:val="00974C42"/>
    <w:rsid w:val="00977EF0"/>
    <w:rsid w:val="00987D86"/>
    <w:rsid w:val="009A6FA8"/>
    <w:rsid w:val="009A71AB"/>
    <w:rsid w:val="009B087A"/>
    <w:rsid w:val="009C4D38"/>
    <w:rsid w:val="009C65E8"/>
    <w:rsid w:val="009D6E8F"/>
    <w:rsid w:val="009E4646"/>
    <w:rsid w:val="009F0694"/>
    <w:rsid w:val="009F4DEF"/>
    <w:rsid w:val="00A162AB"/>
    <w:rsid w:val="00A21E2A"/>
    <w:rsid w:val="00A30C6B"/>
    <w:rsid w:val="00A43463"/>
    <w:rsid w:val="00A61A45"/>
    <w:rsid w:val="00A72331"/>
    <w:rsid w:val="00A7590F"/>
    <w:rsid w:val="00A9155E"/>
    <w:rsid w:val="00AA053C"/>
    <w:rsid w:val="00AA365D"/>
    <w:rsid w:val="00AB1E74"/>
    <w:rsid w:val="00AD5F31"/>
    <w:rsid w:val="00AF587D"/>
    <w:rsid w:val="00B32FFD"/>
    <w:rsid w:val="00B41FF8"/>
    <w:rsid w:val="00B528CD"/>
    <w:rsid w:val="00B71FBC"/>
    <w:rsid w:val="00B729B9"/>
    <w:rsid w:val="00B92872"/>
    <w:rsid w:val="00B967A1"/>
    <w:rsid w:val="00BA7C60"/>
    <w:rsid w:val="00BC773D"/>
    <w:rsid w:val="00BD3AF7"/>
    <w:rsid w:val="00BD4562"/>
    <w:rsid w:val="00BE51C0"/>
    <w:rsid w:val="00BF486B"/>
    <w:rsid w:val="00BF4C97"/>
    <w:rsid w:val="00C059BB"/>
    <w:rsid w:val="00C06C53"/>
    <w:rsid w:val="00C074C5"/>
    <w:rsid w:val="00C11990"/>
    <w:rsid w:val="00C16C8F"/>
    <w:rsid w:val="00C561C5"/>
    <w:rsid w:val="00C56647"/>
    <w:rsid w:val="00C614EF"/>
    <w:rsid w:val="00C70276"/>
    <w:rsid w:val="00C7238B"/>
    <w:rsid w:val="00C95794"/>
    <w:rsid w:val="00CB7FCC"/>
    <w:rsid w:val="00CD02CA"/>
    <w:rsid w:val="00CD426F"/>
    <w:rsid w:val="00CD6FCA"/>
    <w:rsid w:val="00CD7BD4"/>
    <w:rsid w:val="00CE56EC"/>
    <w:rsid w:val="00D32893"/>
    <w:rsid w:val="00D50F42"/>
    <w:rsid w:val="00D510A5"/>
    <w:rsid w:val="00D521A9"/>
    <w:rsid w:val="00D54668"/>
    <w:rsid w:val="00D617E9"/>
    <w:rsid w:val="00D634AE"/>
    <w:rsid w:val="00D94A23"/>
    <w:rsid w:val="00DC5580"/>
    <w:rsid w:val="00DC762D"/>
    <w:rsid w:val="00DD76C4"/>
    <w:rsid w:val="00DE60B5"/>
    <w:rsid w:val="00DE6322"/>
    <w:rsid w:val="00DF4709"/>
    <w:rsid w:val="00E07E10"/>
    <w:rsid w:val="00E15267"/>
    <w:rsid w:val="00E334EB"/>
    <w:rsid w:val="00E3665B"/>
    <w:rsid w:val="00E41ADE"/>
    <w:rsid w:val="00E45393"/>
    <w:rsid w:val="00E4725F"/>
    <w:rsid w:val="00E637D9"/>
    <w:rsid w:val="00E64ABB"/>
    <w:rsid w:val="00E65E37"/>
    <w:rsid w:val="00E742A3"/>
    <w:rsid w:val="00E7525B"/>
    <w:rsid w:val="00E80221"/>
    <w:rsid w:val="00E80A29"/>
    <w:rsid w:val="00E90F86"/>
    <w:rsid w:val="00E967D5"/>
    <w:rsid w:val="00E97A02"/>
    <w:rsid w:val="00EB2070"/>
    <w:rsid w:val="00EC3A09"/>
    <w:rsid w:val="00EF0D79"/>
    <w:rsid w:val="00EF6FAB"/>
    <w:rsid w:val="00F04AE5"/>
    <w:rsid w:val="00F07E48"/>
    <w:rsid w:val="00F13404"/>
    <w:rsid w:val="00F21F36"/>
    <w:rsid w:val="00F2593E"/>
    <w:rsid w:val="00F42B41"/>
    <w:rsid w:val="00F501A8"/>
    <w:rsid w:val="00F91DE5"/>
    <w:rsid w:val="00FA6A70"/>
    <w:rsid w:val="00FA6FE3"/>
    <w:rsid w:val="00FA756E"/>
    <w:rsid w:val="00FB0274"/>
    <w:rsid w:val="00FC1B7D"/>
    <w:rsid w:val="00FC5614"/>
    <w:rsid w:val="00FD1F14"/>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8890"/>
  <w15:docId w15:val="{CD56551C-86B6-4587-B10A-45FB9F0E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D506D"/>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uiPriority w:val="9"/>
    <w:semiHidden/>
    <w:unhideWhenUsed/>
    <w:rsid w:val="00CE56EC"/>
    <w:pPr>
      <w:keepNext/>
      <w:keepLines/>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uiPriority w:val="9"/>
    <w:semiHidden/>
    <w:unhideWhenUsed/>
    <w:rsid w:val="00CE56E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ijschrift">
    <w:name w:val="caption"/>
    <w:basedOn w:val="Standaard"/>
    <w:next w:val="Standaard"/>
    <w:rsid w:val="00E64ABB"/>
    <w:pPr>
      <w:spacing w:before="140" w:after="280"/>
      <w:ind w:hanging="1701"/>
    </w:pPr>
    <w:rPr>
      <w:bCs/>
      <w:i/>
      <w:szCs w:val="18"/>
    </w:rPr>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styleId="Revisie">
    <w:name w:val="Revision"/>
    <w:hidden/>
    <w:uiPriority w:val="99"/>
    <w:semiHidden/>
    <w:rsid w:val="00360253"/>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imop\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7</TotalTime>
  <Pages>3</Pages>
  <Words>500</Words>
  <Characters>3136</Characters>
  <Application>Microsoft Office Word</Application>
  <DocSecurity>0</DocSecurity>
  <Lines>78</Lines>
  <Paragraphs>44</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Gemeentestad</dc:title>
  <dc:creator>Gerard Wolbers</dc:creator>
  <cp:lastModifiedBy>Gerard Wolbers</cp:lastModifiedBy>
  <cp:revision>1</cp:revision>
  <dcterms:created xsi:type="dcterms:W3CDTF">2020-05-11T11:05:00Z</dcterms:created>
  <dcterms:modified xsi:type="dcterms:W3CDTF">2020-05-11T11:13:00Z</dcterms:modified>
</cp:coreProperties>
</file>