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075" w:type="dxa"/>
        <w:tblInd w:w="113" w:type="dxa"/>
        <w:tblLook w:val="04A0" w:firstRow="1" w:lastRow="0" w:firstColumn="1" w:lastColumn="0" w:noHBand="0" w:noVBand="1"/>
      </w:tblPr>
      <w:tblGrid>
        <w:gridCol w:w="987"/>
        <w:gridCol w:w="2253"/>
        <w:gridCol w:w="1574"/>
        <w:gridCol w:w="3261"/>
      </w:tblGrid>
      <w:tr w:rsidR="00F3164D" w:rsidRPr="00F3164D" w14:paraId="3AB22613" w14:textId="77777777" w:rsidTr="00F3164D">
        <w:trPr>
          <w:trHeight w:val="280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B3EC" w14:textId="40F6CD39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bookmarkStart w:id="0" w:name="RANGE!A1:D26"/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Summary of  baseline conditions for primary LMC to second LMC recrystallization in </w:t>
            </w:r>
            <w:r w:rsidR="00DF776A"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phreatic 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meteoric zone</w:t>
            </w:r>
            <w:bookmarkEnd w:id="0"/>
          </w:p>
        </w:tc>
      </w:tr>
      <w:tr w:rsidR="00F3164D" w:rsidRPr="00F3164D" w14:paraId="7A9E60AF" w14:textId="77777777" w:rsidTr="00F3164D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B695D" w14:textId="1CFA509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Notation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5F30C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Definition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DA2A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Value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700D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Reference and Note</w:t>
            </w:r>
          </w:p>
        </w:tc>
      </w:tr>
      <w:tr w:rsidR="00F3164D" w:rsidRPr="00F3164D" w14:paraId="516E6D87" w14:textId="77777777" w:rsidTr="00F3164D">
        <w:trPr>
          <w:trHeight w:val="28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02218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C</w:t>
            </w: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zh-CN"/>
                <w14:ligatures w14:val="none"/>
              </w:rPr>
              <w:t>f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8CAC3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Mass of element in fluid (mol/kg)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75EBA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C = 0.0012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9CEC7" w14:textId="31E63428" w:rsidR="00F3164D" w:rsidRPr="00F3164D" w:rsidRDefault="005F7759" w:rsidP="005F7759">
            <w:pPr>
              <w:rPr>
                <w:lang w:eastAsia="zh-CN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ADDIN EN.CITE &lt;EndNote&gt;&lt;Cite&gt;&lt;Author&gt;Langmuir&lt;/Author&gt;&lt;Year&gt;1997&lt;/Year&gt;&lt;RecNum&gt;2291&lt;/RecNum&gt;&lt;DisplayText&gt;(&lt;style face="italic"&gt;1&lt;/style&gt;)&lt;/DisplayText&gt;&lt;record&gt;&lt;rec-number&gt;2291&lt;/rec-number&gt;&lt;foreign-keys&gt;&lt;key app="EN" db-id="5v0td2xrj2p0wve09tnv0e22pfwrwv5sawar" timestamp="1758479872"&gt;2291&lt;/key&gt;&lt;/foreign-keys&gt;&lt;ref-type name="Book"&gt;6&lt;/ref-type&gt;&lt;contributors&gt;&lt;authors&gt;&lt;author&gt;Langmuir, Donald&lt;/author&gt;&lt;/authors&gt;&lt;/contributors&gt;&lt;titles&gt;&lt;title&gt;Aqueous environmental geochemistry&lt;/title&gt;&lt;/titles&gt;&lt;dates&gt;&lt;year&gt;1997&lt;/year&gt;&lt;/dates&gt;&lt;publisher&gt;New Jersey&lt;/publisher&gt;&lt;isbn&gt;0023674121&lt;/isbn&gt;&lt;urls&gt;&lt;/urls&gt;&lt;/record&gt;&lt;/Cite&gt;&lt;/EndNote&gt;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(</w:t>
            </w:r>
            <w:r w:rsidRPr="005F7759">
              <w:rPr>
                <w:i/>
                <w:noProof/>
                <w:lang w:eastAsia="zh-CN"/>
              </w:rPr>
              <w:t>1</w:t>
            </w:r>
            <w:r>
              <w:rPr>
                <w:noProof/>
                <w:lang w:eastAsia="zh-CN"/>
              </w:rPr>
              <w:t>)</w:t>
            </w:r>
            <w:r>
              <w:rPr>
                <w:lang w:eastAsia="zh-CN"/>
              </w:rPr>
              <w:fldChar w:fldCharType="end"/>
            </w:r>
          </w:p>
        </w:tc>
      </w:tr>
      <w:tr w:rsidR="00F3164D" w:rsidRPr="00F3164D" w14:paraId="377D8736" w14:textId="77777777" w:rsidTr="00F3164D">
        <w:trPr>
          <w:trHeight w:val="28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CA797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6613A3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C2E82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O = 55.6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0DFFB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Based on stoichiometry of water</w:t>
            </w:r>
          </w:p>
        </w:tc>
      </w:tr>
      <w:tr w:rsidR="00F3164D" w:rsidRPr="00F3164D" w14:paraId="25252B77" w14:textId="77777777" w:rsidTr="00F3164D">
        <w:trPr>
          <w:trHeight w:val="28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8F32A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M</w:t>
            </w: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zh-CN"/>
                <w14:ligatures w14:val="none"/>
              </w:rPr>
              <w:t>s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57637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Mass of element in primary calcite (ug/g)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DB4D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C = 1.2e5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DB8BE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Based on stoichiometry of calcite </w:t>
            </w:r>
          </w:p>
        </w:tc>
      </w:tr>
      <w:tr w:rsidR="00F3164D" w:rsidRPr="00F3164D" w14:paraId="04C7BE50" w14:textId="77777777" w:rsidTr="00F3164D">
        <w:trPr>
          <w:trHeight w:val="2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13C64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678BC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84CF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O = 4.8e5</w:t>
            </w:r>
          </w:p>
        </w:tc>
        <w:tc>
          <w:tcPr>
            <w:tcW w:w="3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DE21A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</w:tr>
      <w:tr w:rsidR="00F3164D" w:rsidRPr="00F3164D" w14:paraId="65080D28" w14:textId="77777777" w:rsidTr="00F3164D">
        <w:trPr>
          <w:trHeight w:val="32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CC5BF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zh-CN"/>
                <w14:ligatures w14:val="none"/>
              </w:rPr>
              <w:t>s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9B238E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Isotopic value of primary calcite (‰ PDB)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B91A" w14:textId="4F595753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13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C = 3</w:t>
            </w:r>
          </w:p>
        </w:tc>
        <w:tc>
          <w:tcPr>
            <w:tcW w:w="3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D1554" w14:textId="3B529311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For pre-CIE; </w:t>
            </w:r>
            <w:r w:rsidR="005F7759"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 w:rsidR="005F7759"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 w:rsidR="005F7759"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&lt;EndNote&gt;&lt;Cite&gt;&lt;Author&gt;Bains&lt;/Author&gt;&lt;Year&gt;1999&lt;/Year&gt;&lt;RecNum&gt;1824&lt;/RecNum&gt;&lt;DisplayText&gt;(&lt;style face="italic"&gt;2&lt;/style&gt;)&lt;/DisplayText&gt;&lt;record&gt;&lt;rec-number&gt;1824&lt;/rec-number&gt;&lt;foreign-keys&gt;&lt;key app="EN" db-id="5v0td2xrj2p0wve09tnv0e22pfwrwv5sawar" timestamp="1710935759"&gt;1824&lt;/key&gt;&lt;/foreign-keys&gt;&lt;ref-type name="Journal Article"&gt;17&lt;/ref-type&gt;&lt;contributors&gt;&lt;authors&gt;&lt;author&gt;Bains, Santo &lt;/author&gt;&lt;author&gt;&lt;style face="normal" font="default" charset="134" size="100%"&gt;Corfield&lt;/style&gt;&lt;style face="normal" font="default" size="100%"&gt;, &lt;/style&gt;&lt;style face="normal" font="default" charset="134" size="100%"&gt;Richard M.&lt;/style&gt;&lt;/author&gt;&lt;author&gt;&lt;style face="normal" font="default" charset="134" size="100%"&gt;Norris&lt;/style&gt;&lt;style face="normal" font="default" size="100%"&gt;, &lt;/style&gt;&lt;style face="normal" font="default" charset="134" size="100%"&gt;Richard D. &lt;/style&gt;&lt;/author&gt;&lt;/authors&gt;&lt;/contributors&gt;&lt;titles&gt;&lt;title&gt;Mechanisms of Climate Warming at the End of the Paleocene&lt;/title&gt;&lt;secondary-title&gt;Science&lt;/secondary-title&gt;&lt;/titles&gt;&lt;periodical&gt;&lt;full-title&gt;Science&lt;/full-title&gt;&lt;/periodical&gt;&lt;pages&gt;724–727&lt;/pages&gt;&lt;volume&gt;285&lt;/volume&gt;&lt;dates&gt;&lt;year&gt;1999&lt;/year&gt;&lt;/dates&gt;&lt;urls&gt;&lt;/urls&gt;&lt;/record&gt;&lt;/Cite&gt;&lt;/EndNote&gt;</w:instrText>
            </w:r>
            <w:r w:rsidR="005F7759"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 w:rsidR="005F7759"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="005F7759" w:rsidRPr="005F7759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2</w:t>
            </w:r>
            <w:r w:rsidR="005F7759"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 w:rsidR="005F7759"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64C603B4" w14:textId="77777777" w:rsidTr="00F3164D">
        <w:trPr>
          <w:trHeight w:val="32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DA8FA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83272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1F05" w14:textId="3177E644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18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O = 0.5</w:t>
            </w:r>
          </w:p>
        </w:tc>
        <w:tc>
          <w:tcPr>
            <w:tcW w:w="3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705CA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</w:tr>
      <w:tr w:rsidR="00F3164D" w:rsidRPr="00F3164D" w14:paraId="4C9F2986" w14:textId="77777777" w:rsidTr="00F3164D">
        <w:trPr>
          <w:trHeight w:val="32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8EAC2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2CA33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E96E" w14:textId="5FC993BF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13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C = -4.5</w:t>
            </w:r>
          </w:p>
        </w:tc>
        <w:tc>
          <w:tcPr>
            <w:tcW w:w="3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F182C" w14:textId="75A923E6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For CIE; The upper limited of the lowest carbonate values in primary calcite during the PETM based on model's estimated </w:t>
            </w:r>
          </w:p>
        </w:tc>
      </w:tr>
      <w:tr w:rsidR="00F3164D" w:rsidRPr="00F3164D" w14:paraId="0E3D95CC" w14:textId="77777777" w:rsidTr="00F3164D">
        <w:trPr>
          <w:trHeight w:val="52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8D5D8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082FB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DA3E8" w14:textId="5335E672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18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O = -1</w:t>
            </w:r>
          </w:p>
        </w:tc>
        <w:tc>
          <w:tcPr>
            <w:tcW w:w="3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5FB7D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</w:tr>
      <w:tr w:rsidR="00F3164D" w:rsidRPr="00F3164D" w14:paraId="22C60427" w14:textId="77777777" w:rsidTr="00F3164D">
        <w:trPr>
          <w:trHeight w:val="32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A86D1A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zh-CN"/>
                <w14:ligatures w14:val="none"/>
              </w:rPr>
              <w:t>f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E6EEA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Isotopic value of Fluid (‰ PDB)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1D336" w14:textId="55D67802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13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C = -14 </w:t>
            </w:r>
          </w:p>
        </w:tc>
        <w:tc>
          <w:tcPr>
            <w:tcW w:w="3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8E0B" w14:textId="22AE2593" w:rsidR="00F3164D" w:rsidRPr="00F3164D" w:rsidRDefault="005F7759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&lt;EndNote&gt;&lt;Cite&gt;&lt;Author&gt;Zhao&lt;/Author&gt;&lt;Year&gt;2020&lt;/Year&gt;&lt;RecNum&gt;1573&lt;/RecNum&gt;&lt;DisplayText&gt;(&lt;style face="italic"&gt;3, 4&lt;/style&gt;)&lt;/DisplayText&gt;&lt;record&gt;&lt;rec-number&gt;1573&lt;/rec-number&gt;&lt;foreign-keys&gt;&lt;key app="EN" db-id="5v0td2xrj2p0wve09tnv0e22pfwrwv5sawar" timestamp="1654136644"&gt;1573&lt;/key&gt;&lt;/foreign-keys&gt;&lt;ref-type name="Journal Article"&gt;17&lt;/ref-type&gt;&lt;contributors&gt;&lt;authors&gt;&lt;author&gt;Zhao, Mingyu&lt;/author&gt;&lt;author&gt;Planavsky, Noah&lt;/author&gt;&lt;author&gt;Oehlert, Amanda M.&lt;/author&gt;&lt;author&gt;Wei, Guangyi&lt;/author&gt;&lt;author&gt;Gong, Zheng&lt;/author&gt;&lt;/authors&gt;&lt;/contributors&gt;&lt;titles&gt;&lt;title&gt;Simulating meteoric and mixing zone carbonate diagenesis with a two-dimensional reactive transport model&lt;/title&gt;&lt;secondary-title&gt;American Journal of Science&lt;/secondary-title&gt;&lt;/titles&gt;&lt;periodical&gt;&lt;full-title&gt;American Journal of Science&lt;/full-title&gt;&lt;/periodical&gt;&lt;pages&gt;599-636&lt;/pages&gt;&lt;volume&gt;320&lt;/volume&gt;&lt;number&gt;7&lt;/number&gt;&lt;section&gt;599&lt;/section&gt;&lt;dates&gt;&lt;year&gt;2020&lt;/year&gt;&lt;/dates&gt;&lt;isbn&gt;0002-9599&amp;#xD;1945-452X&lt;/isbn&gt;&lt;urls&gt;&lt;/urls&gt;&lt;electronic-resource-num&gt;10.2475/09.2020.02&lt;/electronic-resource-num&gt;&lt;/record&gt;&lt;/Cite&gt;&lt;Cite&gt;&lt;Author&gt;Clark&lt;/Author&gt;&lt;Year&gt;2015&lt;/Year&gt;&lt;RecNum&gt;2244&lt;/RecNum&gt;&lt;record&gt;&lt;rec-number&gt;2244&lt;/rec-number&gt;&lt;foreign-keys&gt;&lt;key app="EN" db-id="5v0td2xrj2p0wve09tnv0e22pfwrwv5sawar" timestamp="1749811385"&gt;2244&lt;/key&gt;&lt;/foreign-keys&gt;&lt;ref-type name="Book"&gt;6&lt;/ref-type&gt;&lt;contributors&gt;&lt;authors&gt;&lt;author&gt;Clark, Ian&lt;/author&gt;&lt;/authors&gt;&lt;/contributors&gt;&lt;titles&gt;&lt;title&gt;Groundwater geochemistry and isotopes&lt;/title&gt;&lt;/titles&gt;&lt;dates&gt;&lt;year&gt;2015&lt;/year&gt;&lt;/dates&gt;&lt;publisher&gt;CRC press&lt;/publisher&gt;&lt;isbn&gt;1466591749&lt;/isbn&gt;&lt;urls&gt;&lt;/urls&gt;&lt;/record&gt;&lt;/Cite&gt;&lt;/EndNote&gt;</w:instrTex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Pr="005F7759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3, 4</w:t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  <w:r w:rsidR="00F3164D"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  </w:t>
            </w:r>
          </w:p>
        </w:tc>
      </w:tr>
      <w:tr w:rsidR="00F3164D" w:rsidRPr="00F3164D" w14:paraId="75F5A633" w14:textId="77777777" w:rsidTr="00F3164D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9A22F0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B11B4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2E8ED" w14:textId="1FC6C157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18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O = -46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B153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For pre-CIE; Based on lowest 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18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O value in samples at the bottom of Tingri section; </w:t>
            </w:r>
          </w:p>
        </w:tc>
      </w:tr>
      <w:tr w:rsidR="00F3164D" w:rsidRPr="00F3164D" w14:paraId="65E90E41" w14:textId="77777777" w:rsidTr="00F3164D">
        <w:trPr>
          <w:trHeight w:val="32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5E5B1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9982F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17AA" w14:textId="26F3ED90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13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C = -14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8D7BC" w14:textId="0CAED229" w:rsidR="00F3164D" w:rsidRPr="00F3164D" w:rsidRDefault="005F7759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&lt;EndNote&gt;&lt;Cite&gt;&lt;Author&gt;Zhao&lt;/Author&gt;&lt;Year&gt;2020&lt;/Year&gt;&lt;RecNum&gt;1573&lt;/RecNum&gt;&lt;DisplayText&gt;(&lt;style face="italic"&gt;3, 4&lt;/style&gt;)&lt;/DisplayText&gt;&lt;record&gt;&lt;rec-number&gt;1573&lt;/rec-number&gt;&lt;foreign-keys&gt;&lt;key app="EN" db-id="5v0td2xrj2p0wve09tnv0e22pfwrwv5sawar" timestamp="1654136644"&gt;1573&lt;/key&gt;&lt;/foreign-keys&gt;&lt;ref-type name="Journal Article"&gt;17&lt;/ref-type&gt;&lt;contributors&gt;&lt;authors&gt;&lt;author&gt;Zhao, Mingyu&lt;/author&gt;&lt;author&gt;Planavsky, Noah&lt;/author&gt;&lt;author&gt;Oehlert, Amanda M.&lt;/author&gt;&lt;author&gt;Wei, Guangyi&lt;/author&gt;&lt;author&gt;Gong, Zheng&lt;/author&gt;&lt;/authors&gt;&lt;/contributors&gt;&lt;titles&gt;&lt;title&gt;Simulating meteoric and mixing zone carbonate diagenesis with a two-dimensional reactive transport model&lt;/title&gt;&lt;secondary-title&gt;American Journal of Science&lt;/secondary-title&gt;&lt;/titles&gt;&lt;periodical&gt;&lt;full-title&gt;American Journal of Science&lt;/full-title&gt;&lt;/periodical&gt;&lt;pages&gt;599-636&lt;/pages&gt;&lt;volume&gt;320&lt;/volume&gt;&lt;number&gt;7&lt;/number&gt;&lt;section&gt;599&lt;/section&gt;&lt;dates&gt;&lt;year&gt;2020&lt;/year&gt;&lt;/dates&gt;&lt;isbn&gt;0002-9599&amp;#xD;1945-452X&lt;/isbn&gt;&lt;urls&gt;&lt;/urls&gt;&lt;electronic-resource-num&gt;10.2475/09.2020.02&lt;/electronic-resource-num&gt;&lt;/record&gt;&lt;/Cite&gt;&lt;Cite&gt;&lt;Author&gt;Clark&lt;/Author&gt;&lt;Year&gt;2015&lt;/Year&gt;&lt;RecNum&gt;2244&lt;/RecNum&gt;&lt;record&gt;&lt;rec-number&gt;2244&lt;/rec-number&gt;&lt;foreign-keys&gt;&lt;key app="EN" db-id="5v0td2xrj2p0wve09tnv0e22pfwrwv5sawar" timestamp="1749811385"&gt;2244&lt;/key&gt;&lt;/foreign-keys&gt;&lt;ref-type name="Book"&gt;6&lt;/ref-type&gt;&lt;contributors&gt;&lt;authors&gt;&lt;author&gt;Clark, Ian&lt;/author&gt;&lt;/authors&gt;&lt;/contributors&gt;&lt;titles&gt;&lt;title&gt;Groundwater geochemistry and isotopes&lt;/title&gt;&lt;/titles&gt;&lt;dates&gt;&lt;year&gt;2015&lt;/year&gt;&lt;/dates&gt;&lt;publisher&gt;CRC press&lt;/publisher&gt;&lt;isbn&gt;1466591749&lt;/isbn&gt;&lt;urls&gt;&lt;/urls&gt;&lt;/record&gt;&lt;/Cite&gt;&lt;/EndNote&gt;</w:instrTex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Pr="005F7759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3, 4</w:t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0EA579FD" w14:textId="77777777" w:rsidTr="00F3164D">
        <w:trPr>
          <w:trHeight w:val="84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4ADFA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32BE8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4630" w14:textId="76ED87AC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δ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18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O = -47.5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704A" w14:textId="6200D9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For CIE, Assume constant difference between primary calcite and meteoric diagenesis in Pre-CIE and the CIE</w:t>
            </w:r>
          </w:p>
        </w:tc>
      </w:tr>
      <w:tr w:rsidR="00F3164D" w:rsidRPr="00F3164D" w14:paraId="0EF55D85" w14:textId="77777777" w:rsidTr="00F3164D">
        <w:trPr>
          <w:trHeight w:val="56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58DBD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α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B79A7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Isotopic fractionation factor for diagenesis (‰)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6EE63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α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13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C = 0.9988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030A" w14:textId="006BFDD4" w:rsidR="00F3164D" w:rsidRPr="00F3164D" w:rsidRDefault="005F7759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&lt;EndNote&gt;&lt;Cite&gt;&lt;Author&gt;Hayes&lt;/Author&gt;&lt;Year&gt;1999&lt;/Year&gt;&lt;RecNum&gt;2292&lt;/RecNum&gt;&lt;DisplayText&gt;(&lt;style face="italic"&gt;5&lt;/style&gt;)&lt;/DisplayText&gt;&lt;record&gt;&lt;rec-number&gt;2292&lt;/rec-number&gt;&lt;foreign-keys&gt;&lt;key app="EN" db-id="5v0td2xrj2p0wve09tnv0e22pfwrwv5sawar" timestamp="1758480433"&gt;2292&lt;/key&gt;&lt;/foreign-keys&gt;&lt;ref-type name="Journal Article"&gt;17&lt;/ref-type&gt;&lt;contributors&gt;&lt;authors&gt;&lt;author&gt;Hayes, John M&lt;/author&gt;&lt;author&gt;Strauss, Harald&lt;/author&gt;&lt;author&gt;Kaufman, Alan J&lt;/author&gt;&lt;/authors&gt;&lt;/contributors&gt;&lt;titles&gt;&lt;title&gt;The abundance of 13C in marine organic matter and isotopic fractionation in the global biogeochemical cycle of carbon during the past 800 Ma&lt;/title&gt;&lt;secondary-title&gt;Chemical Geology&lt;/secondary-title&gt;&lt;/titles&gt;&lt;periodical&gt;&lt;full-title&gt;Chemical Geology&lt;/full-title&gt;&lt;/periodical&gt;&lt;pages&gt;103-125&lt;/pages&gt;&lt;volume&gt;161&lt;/volume&gt;&lt;number&gt;1-3&lt;/number&gt;&lt;dates&gt;&lt;year&gt;1999&lt;/year&gt;&lt;/dates&gt;&lt;isbn&gt;0009-2541&lt;/isbn&gt;&lt;urls&gt;&lt;/urls&gt;&lt;/record&gt;&lt;/Cite&gt;&lt;/EndNote&gt;</w:instrTex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Pr="005F7759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5</w:t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0BFD588C" w14:textId="77777777" w:rsidTr="00F3164D">
        <w:trPr>
          <w:trHeight w:val="32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172BB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B71B6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1DAC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α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18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O = 1.031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1F0F" w14:textId="7DE2D25C" w:rsidR="00F3164D" w:rsidRPr="00F3164D" w:rsidRDefault="005F7759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&lt;EndNote&gt;&lt;Cite&gt;&lt;Author&gt;O&amp;apos;Neil&lt;/Author&gt;&lt;Year&gt;1969&lt;/Year&gt;&lt;RecNum&gt;2265&lt;/RecNum&gt;&lt;DisplayText&gt;(&lt;style face="italic"&gt;6&lt;/style&gt;)&lt;/DisplayText&gt;&lt;record&gt;&lt;rec-number&gt;2265&lt;/rec-number&gt;&lt;foreign-keys&gt;&lt;key app="EN" db-id="5v0td2xrj2p0wve09tnv0e22pfwrwv5sawar" timestamp="1751812267"&gt;2265&lt;/key&gt;&lt;/foreign-keys&gt;&lt;ref-type name="Journal Article"&gt;17&lt;/ref-type&gt;&lt;contributors&gt;&lt;authors&gt;&lt;author&gt;O&amp;apos;Neil, James R&lt;/author&gt;&lt;author&gt;Clayton, Robert N&lt;/author&gt;&lt;author&gt;Mayeda, Toshiko K&lt;/author&gt;&lt;/authors&gt;&lt;/contributors&gt;&lt;titles&gt;&lt;title&gt;Oxygen isotope fractionation in divalent metal carbonates&lt;/title&gt;&lt;secondary-title&gt;Journal of chemical physics&lt;/secondary-title&gt;&lt;/titles&gt;&lt;periodical&gt;&lt;full-title&gt;Journal of chemical physics&lt;/full-title&gt;&lt;/periodical&gt;&lt;pages&gt;5547-5558&lt;/pages&gt;&lt;volume&gt;51&lt;/volume&gt;&lt;number&gt;12&lt;/number&gt;&lt;dates&gt;&lt;year&gt;1969&lt;/year&gt;&lt;/dates&gt;&lt;isbn&gt;0021-9606&lt;/isbn&gt;&lt;urls&gt;&lt;/urls&gt;&lt;/record&gt;&lt;/Cite&gt;&lt;/EndNote&gt;</w:instrTex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Pr="005F7759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6</w:t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6703AC30" w14:textId="77777777" w:rsidTr="00F3164D">
        <w:trPr>
          <w:trHeight w:val="3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9B06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V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F672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Box volume (m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3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2EE8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5CAA" w14:textId="1F9DC075" w:rsidR="00F3164D" w:rsidRPr="00F3164D" w:rsidRDefault="005F7759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 w:rsidR="00CE505E"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 w:rsidR="00CE505E"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&lt;EndNote&gt;&lt;Cite&gt;&lt;Author&gt;Ahm&lt;/Author&gt;&lt;Year&gt;2018&lt;/Year&gt;&lt;RecNum&gt;1392&lt;/RecNum&gt;&lt;DisplayText&gt;(&lt;style face="italic"&gt;7&lt;/style&gt;)&lt;/DisplayText&gt;&lt;record&gt;&lt;rec-number&gt;1392&lt;/rec-number&gt;&lt;foreign-keys&gt;&lt;key app="EN" db-id="5v0td2xrj2p0wve09tnv0e22pfwrwv5sawar" timestamp="1640483984"&gt;1392&lt;/key&gt;&lt;/foreign-keys&gt;&lt;ref-type name="Journal Article"&gt;17&lt;/ref-type&gt;&lt;contributors&gt;&lt;authors&gt;&lt;author&gt;Ahm, Anne-Sofie C.&lt;/author&gt;&lt;author&gt;Bjerrum, Christian J.&lt;/author&gt;&lt;author&gt;Blättler, Clara L.&lt;/author&gt;&lt;author&gt;Swart, Peter K.&lt;/author&gt;&lt;author&gt;Higgins, John A.&lt;/author&gt;&lt;/authors&gt;&lt;/contributors&gt;&lt;titles&gt;&lt;title&gt;Quantifying early marine diagenesis in shallow-water carbonate sediments&lt;/title&gt;&lt;secondary-title&gt;Geochimica et Cosmochimica Acta&lt;/secondary-title&gt;&lt;/titles&gt;&lt;periodical&gt;&lt;full-title&gt;Geochimica et Cosmochimica Acta&lt;/full-title&gt;&lt;/periodical&gt;&lt;pages&gt;140-159&lt;/pages&gt;&lt;volume&gt;236&lt;/volume&gt;&lt;section&gt;140&lt;/section&gt;&lt;dates&gt;&lt;year&gt;2018&lt;/year&gt;&lt;/dates&gt;&lt;isbn&gt;00167037&lt;/isbn&gt;&lt;urls&gt;&lt;/urls&gt;&lt;electronic-resource-num&gt;10.1016/j.gca.2018.02.042&lt;/electronic-resource-num&gt;&lt;/record&gt;&lt;/Cite&gt;&lt;/EndNote&gt;</w:instrText>
            </w:r>
            <w:r w:rsidR="00CE505E"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 w:rsidR="00CE505E"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="00CE505E" w:rsidRPr="00CE505E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7</w:t>
            </w:r>
            <w:r w:rsidR="00CE505E"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 w:rsidR="00CE505E"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501100E1" w14:textId="77777777" w:rsidTr="00F3164D">
        <w:trPr>
          <w:trHeight w:val="5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A3C1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ρ</w:t>
            </w: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zh-CN"/>
                <w14:ligatures w14:val="none"/>
              </w:rPr>
              <w:t>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CF52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Density of solid (g/cm3)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5D13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1.8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50A" w14:textId="1FF186E1" w:rsidR="00F3164D" w:rsidRPr="00F3164D" w:rsidRDefault="00CE505E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&lt;EndNote&gt;&lt;Cite&gt;&lt;Author&gt;Ahm&lt;/Author&gt;&lt;Year&gt;2018&lt;/Year&gt;&lt;RecNum&gt;1392&lt;/RecNum&gt;&lt;DisplayText&gt;(&lt;style face="italic"&gt;7&lt;/style&gt;)&lt;/DisplayText&gt;&lt;record&gt;&lt;rec-number&gt;1392&lt;/rec-number&gt;&lt;foreign-keys&gt;&lt;key app="EN" db-id="5v0td2xrj2p0wve09tnv0e22pfwrwv5sawar" timestamp="1640483984"&gt;1392&lt;/key&gt;&lt;/foreign-keys&gt;&lt;ref-type name="Journal Article"&gt;17&lt;/ref-type&gt;&lt;contributors&gt;&lt;authors&gt;&lt;author&gt;Ahm, Anne-Sofie C.&lt;/author&gt;&lt;author&gt;Bjerrum, Christian J.&lt;/author&gt;&lt;author&gt;Blättler, Clara L.&lt;/author&gt;&lt;author&gt;Swart, Peter K.&lt;/author&gt;&lt;author&gt;Higgins, John A.&lt;/author&gt;&lt;/authors&gt;&lt;/contributors&gt;&lt;titles&gt;&lt;title&gt;Quantifying early marine diagenesis in shallow-water carbonate sediments&lt;/title&gt;&lt;secondary-title&gt;Geochimica et Cosmochimica Acta&lt;/secondary-title&gt;&lt;/titles&gt;&lt;periodical&gt;&lt;full-title&gt;Geochimica et Cosmochimica Acta&lt;/full-title&gt;&lt;/periodical&gt;&lt;pages&gt;140-159&lt;/pages&gt;&lt;volume&gt;236&lt;/volume&gt;&lt;section&gt;140&lt;/section&gt;&lt;dates&gt;&lt;year&gt;2018&lt;/year&gt;&lt;/dates&gt;&lt;isbn&gt;00167037&lt;/isbn&gt;&lt;urls&gt;&lt;/urls&gt;&lt;electronic-resource-num&gt;10.1016/j.gca.2018.02.042&lt;/electronic-resource-num&gt;&lt;/record&gt;&lt;/Cite&gt;&lt;/EndNote&gt;</w:instrTex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Pr="00CE505E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7</w:t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24F00F00" w14:textId="77777777" w:rsidTr="00F3164D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A62F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ρ</w:t>
            </w: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zh-CN"/>
                <w14:ligatures w14:val="none"/>
              </w:rPr>
              <w:t>f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28DF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Density of fluid (g/cm3)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3DE02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DB40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Freshwater</w:t>
            </w:r>
          </w:p>
        </w:tc>
      </w:tr>
      <w:tr w:rsidR="00F3164D" w:rsidRPr="00F3164D" w14:paraId="0AFE9F6C" w14:textId="77777777" w:rsidTr="00F3164D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4A71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A9EA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Specific box number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602F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50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AD50" w14:textId="3DC8C020" w:rsidR="00F3164D" w:rsidRPr="00F3164D" w:rsidRDefault="00CE505E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&lt;EndNote&gt;&lt;Cite&gt;&lt;Author&gt;Ahm&lt;/Author&gt;&lt;Year&gt;2018&lt;/Year&gt;&lt;RecNum&gt;1392&lt;/RecNum&gt;&lt;DisplayText&gt;(&lt;style face="italic"&gt;7&lt;/style&gt;)&lt;/DisplayText&gt;&lt;record&gt;&lt;rec-number&gt;1392&lt;/rec-number&gt;&lt;foreign-keys&gt;&lt;key app="EN" db-id="5v0td2xrj2p0wve09tnv0e22pfwrwv5sawar" timestamp="1640483984"&gt;1392&lt;/key&gt;&lt;/foreign-keys&gt;&lt;ref-type name="Journal Article"&gt;17&lt;/ref-type&gt;&lt;contributors&gt;&lt;authors&gt;&lt;author&gt;Ahm, Anne-Sofie C.&lt;/author&gt;&lt;author&gt;Bjerrum, Christian J.&lt;/author&gt;&lt;author&gt;Blättler, Clara L.&lt;/author&gt;&lt;author&gt;Swart, Peter K.&lt;/author&gt;&lt;author&gt;Higgins, John A.&lt;/author&gt;&lt;/authors&gt;&lt;/contributors&gt;&lt;titles&gt;&lt;title&gt;Quantifying early marine diagenesis in shallow-water carbonate sediments&lt;/title&gt;&lt;secondary-title&gt;Geochimica et Cosmochimica Acta&lt;/secondary-title&gt;&lt;/titles&gt;&lt;periodical&gt;&lt;full-title&gt;Geochimica et Cosmochimica Acta&lt;/full-title&gt;&lt;/periodical&gt;&lt;pages&gt;140-159&lt;/pages&gt;&lt;volume&gt;236&lt;/volume&gt;&lt;section&gt;140&lt;/section&gt;&lt;dates&gt;&lt;year&gt;2018&lt;/year&gt;&lt;/dates&gt;&lt;isbn&gt;00167037&lt;/isbn&gt;&lt;urls&gt;&lt;/urls&gt;&lt;electronic-resource-num&gt;10.1016/j.gca.2018.02.042&lt;/electronic-resource-num&gt;&lt;/record&gt;&lt;/Cite&gt;&lt;/EndNote&gt;</w:instrTex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Pr="00CE505E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7</w:t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1272F273" w14:textId="77777777" w:rsidTr="00F3164D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9F0A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K</w:t>
            </w: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zh-CN"/>
                <w14:ligatures w14:val="none"/>
              </w:rPr>
              <w:t>d,u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344C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Exchange reaction distribution coefficient of U relative to Ca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3682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0.06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C61B" w14:textId="5EEEA687" w:rsidR="00F3164D" w:rsidRPr="00F3164D" w:rsidRDefault="00CE505E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&lt;EndNote&gt;&lt;Cite&gt;&lt;Author&gt;Weremeichik&lt;/Author&gt;&lt;Year&gt;2017&lt;/Year&gt;&lt;RecNum&gt;1578&lt;/RecNum&gt;&lt;DisplayText&gt;(&lt;style face="italic"&gt;8&lt;/style&gt;)&lt;/DisplayText&gt;&lt;record&gt;&lt;rec-number&gt;1578&lt;/rec-number&gt;&lt;foreign-keys&gt;&lt;key app="EN" db-id="5v0td2xrj2p0wve09tnv0e22pfwrwv5sawar" timestamp="1654590946"&gt;1578&lt;/key&gt;&lt;/foreign-keys&gt;&lt;ref-type name="Journal Article"&gt;17&lt;/ref-type&gt;&lt;contributors&gt;&lt;authors&gt;&lt;author&gt;Weremeichik, Jeremy M.&lt;/author&gt;&lt;author&gt;Gabitov, Rinat I.&lt;/author&gt;&lt;author&gt;Thien, Bruno M. J.&lt;/author&gt;&lt;author&gt;Sadekov, Aleksey&lt;/author&gt;&lt;/authors&gt;&lt;/contributors&gt;&lt;titles&gt;&lt;title&gt;The effect of growth rate on uranium partitioning between individual calcite crystals and fluid&lt;/title&gt;&lt;secondary-title&gt;Chemical Geology&lt;/secondary-title&gt;&lt;/titles&gt;&lt;periodical&gt;&lt;full-title&gt;Chemical Geology&lt;/full-title&gt;&lt;/periodical&gt;&lt;pages&gt;145-153&lt;/pages&gt;&lt;volume&gt;450&lt;/volume&gt;&lt;section&gt;145&lt;/section&gt;&lt;dates&gt;&lt;year&gt;2017&lt;/year&gt;&lt;/dates&gt;&lt;isbn&gt;00092541&lt;/isbn&gt;&lt;urls&gt;&lt;/urls&gt;&lt;electronic-resource-num&gt;10.1016/j.chemgeo.2016.12.026&lt;/electronic-resource-num&gt;&lt;/record&gt;&lt;/Cite&gt;&lt;/EndNote&gt;</w:instrTex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Pr="00CE505E">
              <w:rPr>
                <w:rFonts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8</w:t>
            </w:r>
            <w:r>
              <w:rPr>
                <w:rFonts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7ABABF13" w14:textId="77777777" w:rsidTr="00F3164D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BD235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3071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Porosity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3C30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0.3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0CECF" w14:textId="34E8AE3F" w:rsidR="00F3164D" w:rsidRPr="00F3164D" w:rsidRDefault="00CE505E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&lt;EndNote&gt;&lt;Cite&gt;&lt;Author&gt;Zhao&lt;/Author&gt;&lt;Year&gt;2020&lt;/Year&gt;&lt;RecNum&gt;1573&lt;/RecNum&gt;&lt;DisplayText&gt;(&lt;style face="italic"&gt;3, 9&lt;/style&gt;)&lt;/DisplayText&gt;&lt;record&gt;&lt;rec-number&gt;1573&lt;/rec-number&gt;&lt;foreign-keys&gt;&lt;key app="EN" db-id="5v0td2xrj2p0wve09tnv0e22pfwrwv5sawar" timestamp="1654136644"&gt;1573&lt;/key&gt;&lt;/foreign-keys&gt;&lt;ref-type name="Journal Article"&gt;17&lt;/ref-type&gt;&lt;contributors&gt;&lt;authors&gt;&lt;author&gt;Zhao, Mingyu&lt;/author&gt;&lt;author&gt;Planavsky, Noah&lt;/author&gt;&lt;author&gt;Oehlert, Amanda M.&lt;/author&gt;&lt;author&gt;Wei, Guangyi&lt;/author&gt;&lt;author&gt;Gong, Zheng&lt;/author&gt;&lt;/authors&gt;&lt;/contributors&gt;&lt;titles&gt;&lt;title&gt;Simulating meteoric and mixing zone carbonate diagenesis with a two-dimensional reactive transport model&lt;/title&gt;&lt;secondary-title&gt;American Journal of Science&lt;/secondary-title&gt;&lt;/titles&gt;&lt;periodical&gt;&lt;full-title&gt;American Journal of Science&lt;/full-title&gt;&lt;/periodical&gt;&lt;pages&gt;599-636&lt;/pages&gt;&lt;volume&gt;320&lt;/volume&gt;&lt;number&gt;7&lt;/number&gt;&lt;section&gt;599&lt;/section&gt;&lt;dates&gt;&lt;year&gt;2020&lt;/year&gt;&lt;/dates&gt;&lt;isbn&gt;0002-9599&amp;#xD;1945-452X&lt;/isbn&gt;&lt;urls&gt;&lt;/urls&gt;&lt;electronic-resource-num&gt;10.2475/09.2020.02&lt;/electronic-resource-num&gt;&lt;/record&gt;&lt;/Cite&gt;&lt;Cite&gt;&lt;Author&gt;Rezaei&lt;/Author&gt;&lt;Year&gt;2005&lt;/Year&gt;&lt;RecNum&gt;2241&lt;/RecNum&gt;&lt;record&gt;&lt;rec-number&gt;2241&lt;/rec-number&gt;&lt;foreign-keys&gt;&lt;key app="EN" db-id="5v0td2xrj2p0wve09tnv0e22pfwrwv5sawar" timestamp="1749765852"&gt;2241&lt;/key&gt;&lt;/foreign-keys&gt;&lt;ref-type name="Journal Article"&gt;17&lt;/ref-type&gt;&lt;contributors&gt;&lt;authors&gt;&lt;author&gt;Rezaei, Mohsen&lt;/author&gt;&lt;author&gt;Sanz, Esteban&lt;/author&gt;&lt;author&gt;Raeisi, Ezat&lt;/author&gt;&lt;author&gt;Ayora, Carlos&lt;/author&gt;&lt;author&gt;Vázquez-Suñé, Enric&lt;/author&gt;&lt;author&gt;Carrera, Jesús&lt;/author&gt;&lt;/authors&gt;&lt;/contributors&gt;&lt;titles&gt;&lt;title&gt;Reactive transport modeling of calcite dissolution in the fresh-salt water mixing zone&lt;/title&gt;&lt;secondary-title&gt;Journal of Hydrology&lt;/secondary-title&gt;&lt;/titles&gt;&lt;periodical&gt;&lt;full-title&gt;Journal of Hydrology&lt;/full-title&gt;&lt;/periodical&gt;&lt;pages&gt;282-298&lt;/pages&gt;&lt;volume&gt;311&lt;/volume&gt;&lt;number&gt;1-4&lt;/number&gt;&lt;dates&gt;&lt;year&gt;2005&lt;/year&gt;&lt;/dates&gt;&lt;isbn&gt;0022-1694&lt;/isbn&gt;&lt;urls&gt;&lt;/urls&gt;&lt;/record&gt;&lt;/Cite&gt;&lt;/EndNote&gt;</w:instrText>
            </w:r>
            <w:r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>
              <w:rPr>
                <w:rFonts w:eastAsia="Times New Roman"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Pr="00CE505E">
              <w:rPr>
                <w:rFonts w:eastAsia="Times New Roman"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3, 9</w:t>
            </w:r>
            <w:r>
              <w:rPr>
                <w:rFonts w:eastAsia="Times New Roman"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157BECBB" w14:textId="77777777" w:rsidTr="00F3164D">
        <w:trPr>
          <w:trHeight w:val="56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4140F9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μ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68114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Vertical flow rate (m/yr)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8FF8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DD50" w14:textId="432EF6A7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For the top (or </w:t>
            </w:r>
            <w:r w:rsidR="001B0B7E"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first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) box; </w:t>
            </w:r>
            <w:r w:rsidR="00CE505E"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 w:rsidR="00CE505E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 w:rsidR="00CE505E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&lt;EndNote&gt;&lt;Cite&gt;&lt;Author&gt;Allan&lt;/Author&gt;&lt;Year&gt;1982&lt;/Year&gt;&lt;RecNum&gt;1840&lt;/RecNum&gt;&lt;DisplayText&gt;(&lt;style face="italic"&gt;9, 10&lt;/style&gt;)&lt;/DisplayText&gt;&lt;record&gt;&lt;rec-number&gt;1840&lt;/rec-number&gt;&lt;foreign-keys&gt;&lt;key app="EN" db-id="5v0td2xrj2p0wve09tnv0e22pfwrwv5sawar" timestamp="1713192957"&gt;1840&lt;/key&gt;&lt;/foreign-keys&gt;&lt;ref-type name="Journal Article"&gt;17&lt;/ref-type&gt;&lt;contributors&gt;&lt;authors&gt;&lt;author&gt;Allan, J. R.&lt;/author&gt;&lt;author&gt;Matthews, R. K.&lt;/author&gt;&lt;/authors&gt;&lt;/contributors&gt;&lt;titles&gt;&lt;title&gt;Isotope signatures associated with early meteoric diagenesis&lt;/title&gt;&lt;secondary-title&gt;Sedimentology&lt;/secondary-title&gt;&lt;/titles&gt;&lt;periodical&gt;&lt;full-title&gt;Sedimentology&lt;/full-title&gt;&lt;/periodical&gt;&lt;pages&gt;797-817&lt;/pages&gt;&lt;volume&gt;29&lt;/volume&gt;&lt;number&gt;6&lt;/number&gt;&lt;section&gt;797&lt;/section&gt;&lt;dates&gt;&lt;year&gt;1982&lt;/year&gt;&lt;/dates&gt;&lt;isbn&gt;0037-0746&amp;#xD;1365-3091&lt;/isbn&gt;&lt;urls&gt;&lt;/urls&gt;&lt;electronic-resource-num&gt;10.1111/j.1365-3091.1982.tb00085.x&lt;/electronic-resource-num&gt;&lt;/record&gt;&lt;/Cite&gt;&lt;Cite&gt;&lt;Author&gt;Rezaei&lt;/Author&gt;&lt;Year&gt;2005&lt;/Year&gt;&lt;RecNum&gt;2241&lt;/RecNum&gt;&lt;record&gt;&lt;rec-number&gt;2241&lt;/rec-number&gt;&lt;foreign-keys&gt;&lt;key app="EN" db-id="5v0td2xrj2p0wve09tnv0e22pfwrwv5sawar" timestamp="1749765852"&gt;2241&lt;/key&gt;&lt;/foreign-keys&gt;&lt;ref-type name="Journal Article"&gt;17&lt;/ref-type&gt;&lt;contributors&gt;&lt;authors&gt;&lt;author&gt;Rezaei, Mohsen&lt;/author&gt;&lt;author&gt;Sanz, Esteban&lt;/author&gt;&lt;author&gt;Raeisi, Ezat&lt;/author&gt;&lt;author&gt;Ayora, Carlos&lt;/author&gt;&lt;author&gt;Vázquez-Suñé, Enric&lt;/author&gt;&lt;author&gt;Carrera, Jesús&lt;/author&gt;&lt;/authors&gt;&lt;/contributors&gt;&lt;titles&gt;&lt;title&gt;Reactive transport modeling of calcite dissolution in the fresh-salt water mixing zone&lt;/title&gt;&lt;secondary-title&gt;Journal of Hydrology&lt;/secondary-title&gt;&lt;/titles&gt;&lt;periodical&gt;&lt;full-title&gt;Journal of Hydrology&lt;/full-title&gt;&lt;/periodical&gt;&lt;pages&gt;282-298&lt;/pages&gt;&lt;volume&gt;311&lt;/volume&gt;&lt;number&gt;1-4&lt;/number&gt;&lt;dates&gt;&lt;year&gt;2005&lt;/year&gt;&lt;/dates&gt;&lt;isbn&gt;0022-1694&lt;/isbn&gt;&lt;urls&gt;&lt;/urls&gt;&lt;/record&gt;&lt;/Cite&gt;&lt;/EndNote&gt;</w:instrText>
            </w:r>
            <w:r w:rsidR="00CE505E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 w:rsidR="00CE505E">
              <w:rPr>
                <w:rFonts w:eastAsia="Times New Roman"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="00CE505E" w:rsidRPr="00CE505E">
              <w:rPr>
                <w:rFonts w:eastAsia="Times New Roman"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9, 10</w:t>
            </w:r>
            <w:r w:rsidR="00CE505E">
              <w:rPr>
                <w:rFonts w:eastAsia="Times New Roman"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 w:rsidR="00CE505E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7C40BE3E" w14:textId="77777777" w:rsidTr="00F3164D">
        <w:trPr>
          <w:trHeight w:val="28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581EB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5E1E2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849A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0.1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D831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For the bottom (or last) box</w:t>
            </w:r>
          </w:p>
        </w:tc>
      </w:tr>
      <w:tr w:rsidR="00F3164D" w:rsidRPr="00F3164D" w14:paraId="1C6BA14F" w14:textId="77777777" w:rsidTr="00F3164D">
        <w:trPr>
          <w:trHeight w:val="53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F46AF" w14:textId="77777777" w:rsidR="00F3164D" w:rsidRPr="00F3164D" w:rsidRDefault="00F3164D" w:rsidP="00F3164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  <w:t>R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792A5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Reactive rate (yr</w:t>
            </w:r>
            <w:r w:rsidRPr="00F3164D">
              <w:rPr>
                <w:rFonts w:eastAsia="Times New Roman" w:cs="Times New Roman"/>
                <w:color w:val="000000"/>
                <w:sz w:val="22"/>
                <w:vertAlign w:val="superscript"/>
                <w:lang w:eastAsia="zh-CN"/>
                <w14:ligatures w14:val="none"/>
              </w:rPr>
              <w:t>-1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B36F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1.00E-05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D8DF5" w14:textId="02250CDF" w:rsidR="00F3164D" w:rsidRPr="00F3164D" w:rsidRDefault="00F3164D" w:rsidP="00F3164D">
            <w:pPr>
              <w:spacing w:after="0" w:line="240" w:lineRule="auto"/>
              <w:jc w:val="left"/>
              <w:rPr>
                <w:rFonts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For the top (or </w:t>
            </w:r>
            <w:r w:rsidR="001B0B7E"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first</w:t>
            </w: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 xml:space="preserve">) box; </w:t>
            </w:r>
            <w:r w:rsidR="00CE505E">
              <w:rPr>
                <w:rFonts w:cs="Times New Roman" w:hint="eastAsia"/>
                <w:color w:val="000000"/>
                <w:sz w:val="22"/>
                <w:lang w:eastAsia="zh-CN"/>
                <w14:ligatures w14:val="none"/>
              </w:rPr>
              <w:t xml:space="preserve">Ref. </w:t>
            </w:r>
            <w:r w:rsidR="00CE505E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begin"/>
            </w:r>
            <w:r w:rsidR="00CE505E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instrText xml:space="preserve"> ADDIN EN.CITE &lt;EndNote&gt;&lt;Cite&gt;&lt;Author&gt;Allan&lt;/Author&gt;&lt;Year&gt;1982&lt;/Year&gt;&lt;RecNum&gt;2211&lt;/RecNum&gt;&lt;DisplayText&gt;(&lt;style face="italic"&gt;3, 11&lt;/style&gt;)&lt;/DisplayText&gt;&lt;record&gt;&lt;rec-number&gt;2211&lt;/rec-number&gt;&lt;foreign-keys&gt;&lt;key app="EN" db-id="5v0td2xrj2p0wve09tnv0e22pfwrwv5sawar" timestamp="1747343479"&gt;2211&lt;/key&gt;&lt;/foreign-keys&gt;&lt;ref-type name="Journal Article"&gt;17&lt;/ref-type&gt;&lt;contributors&gt;&lt;authors&gt;&lt;author&gt;Allan, JR&lt;/author&gt;&lt;author&gt;Matthews, Richard K&lt;/author&gt;&lt;/authors&gt;&lt;/contributors&gt;&lt;titles&gt;&lt;title&gt;Isotope signatures associated with early meteoric diagenesis&lt;/title&gt;&lt;secondary-title&gt;Carbonate diagenesis&lt;/secondary-title&gt;&lt;/titles&gt;&lt;periodical&gt;&lt;full-title&gt;Carbonate diagenesis&lt;/full-title&gt;&lt;/periodical&gt;&lt;pages&gt;197-217&lt;/pages&gt;&lt;dates&gt;&lt;year&gt;1982&lt;/year&gt;&lt;/dates&gt;&lt;urls&gt;&lt;/urls&gt;&lt;/record&gt;&lt;/Cite&gt;&lt;Cite&gt;&lt;Author&gt;Zhao&lt;/Author&gt;&lt;Year&gt;2020&lt;/Year&gt;&lt;RecNum&gt;1573&lt;/RecNum&gt;&lt;record&gt;&lt;rec-number&gt;1573&lt;/rec-number&gt;&lt;foreign-keys&gt;&lt;key app="EN" db-id="5v0td2xrj2p0wve09tnv0e22pfwrwv5sawar" timestamp="1654136644"&gt;1573&lt;/key&gt;&lt;/foreign-keys&gt;&lt;ref-type name="Journal Article"&gt;17&lt;/ref-type&gt;&lt;contributors&gt;&lt;authors&gt;&lt;author&gt;Zhao, Mingyu&lt;/author&gt;&lt;author&gt;Planavsky, Noah&lt;/author&gt;&lt;author&gt;Oehlert, Amanda M.&lt;/author&gt;&lt;author&gt;Wei, Guangyi&lt;/author&gt;&lt;author&gt;Gong, Zheng&lt;/author&gt;&lt;/authors&gt;&lt;/contributors&gt;&lt;titles&gt;&lt;title&gt;Simulating meteoric and mixing zone carbonate diagenesis with a two-dimensional reactive transport model&lt;/title&gt;&lt;secondary-title&gt;American Journal of Science&lt;/secondary-title&gt;&lt;/titles&gt;&lt;periodical&gt;&lt;full-title&gt;American Journal of Science&lt;/full-title&gt;&lt;/periodical&gt;&lt;pages&gt;599-636&lt;/pages&gt;&lt;volume&gt;320&lt;/volume&gt;&lt;number&gt;7&lt;/number&gt;&lt;section&gt;599&lt;/section&gt;&lt;dates&gt;&lt;year&gt;2020&lt;/year&gt;&lt;/dates&gt;&lt;isbn&gt;0002-9599&amp;#xD;1945-452X&lt;/isbn&gt;&lt;urls&gt;&lt;/urls&gt;&lt;electronic-resource-num&gt;10.2475/09.2020.02&lt;/electronic-resource-num&gt;&lt;/record&gt;&lt;/Cite&gt;&lt;/EndNote&gt;</w:instrText>
            </w:r>
            <w:r w:rsidR="00CE505E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separate"/>
            </w:r>
            <w:r w:rsidR="00CE505E">
              <w:rPr>
                <w:rFonts w:eastAsia="Times New Roman" w:cs="Times New Roman"/>
                <w:noProof/>
                <w:color w:val="000000"/>
                <w:sz w:val="22"/>
                <w:lang w:eastAsia="zh-CN"/>
                <w14:ligatures w14:val="none"/>
              </w:rPr>
              <w:t>(</w:t>
            </w:r>
            <w:r w:rsidR="00CE505E" w:rsidRPr="00CE505E">
              <w:rPr>
                <w:rFonts w:eastAsia="Times New Roman" w:cs="Times New Roman"/>
                <w:i/>
                <w:noProof/>
                <w:color w:val="000000"/>
                <w:sz w:val="22"/>
                <w:lang w:eastAsia="zh-CN"/>
                <w14:ligatures w14:val="none"/>
              </w:rPr>
              <w:t>3, 11</w:t>
            </w:r>
            <w:r w:rsidR="00CE505E">
              <w:rPr>
                <w:rFonts w:eastAsia="Times New Roman" w:cs="Times New Roman"/>
                <w:noProof/>
                <w:color w:val="000000"/>
                <w:sz w:val="22"/>
                <w:lang w:eastAsia="zh-CN"/>
                <w14:ligatures w14:val="none"/>
              </w:rPr>
              <w:t>)</w:t>
            </w:r>
            <w:r w:rsidR="00CE505E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fldChar w:fldCharType="end"/>
            </w:r>
          </w:p>
        </w:tc>
      </w:tr>
      <w:tr w:rsidR="00F3164D" w:rsidRPr="00F3164D" w14:paraId="5E17ED75" w14:textId="77777777" w:rsidTr="00F3164D">
        <w:trPr>
          <w:trHeight w:val="2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81B1B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4B89E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B6F20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2.00E-06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DD7E" w14:textId="77777777" w:rsidR="00F3164D" w:rsidRPr="00F3164D" w:rsidRDefault="00F3164D" w:rsidP="00F316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</w:pPr>
            <w:r w:rsidRPr="00F3164D">
              <w:rPr>
                <w:rFonts w:eastAsia="Times New Roman" w:cs="Times New Roman"/>
                <w:color w:val="000000"/>
                <w:sz w:val="22"/>
                <w:lang w:eastAsia="zh-CN"/>
                <w14:ligatures w14:val="none"/>
              </w:rPr>
              <w:t>For the bottom (or last) box</w:t>
            </w:r>
          </w:p>
        </w:tc>
      </w:tr>
    </w:tbl>
    <w:p w14:paraId="5666C749" w14:textId="77777777" w:rsidR="00F93A8B" w:rsidRDefault="00F93A8B"/>
    <w:p w14:paraId="7E72E82C" w14:textId="1941D374" w:rsidR="00F3164D" w:rsidRDefault="00F3164D">
      <w:pPr>
        <w:spacing w:after="160" w:line="259" w:lineRule="auto"/>
        <w:jc w:val="left"/>
      </w:pPr>
      <w:r>
        <w:br w:type="page"/>
      </w:r>
    </w:p>
    <w:p w14:paraId="10E7FC48" w14:textId="5D718585" w:rsidR="005F7759" w:rsidRPr="00CE505E" w:rsidRDefault="00F3164D">
      <w:pPr>
        <w:rPr>
          <w:b/>
          <w:bCs/>
          <w:lang w:eastAsia="zh-CN"/>
        </w:rPr>
      </w:pPr>
      <w:r w:rsidRPr="00CE505E">
        <w:rPr>
          <w:rFonts w:hint="eastAsia"/>
          <w:b/>
          <w:bCs/>
          <w:lang w:eastAsia="zh-CN"/>
        </w:rPr>
        <w:lastRenderedPageBreak/>
        <w:t>Reference:</w:t>
      </w:r>
    </w:p>
    <w:p w14:paraId="7E203EE5" w14:textId="77777777" w:rsidR="00CE505E" w:rsidRPr="00CE505E" w:rsidRDefault="005F7759" w:rsidP="00CE505E">
      <w:pPr>
        <w:pStyle w:val="EndNoteBibliography"/>
        <w:spacing w:after="0"/>
        <w:ind w:left="720" w:hanging="720"/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ADDIN EN.REFLIST </w:instrText>
      </w:r>
      <w:r>
        <w:rPr>
          <w:lang w:eastAsia="zh-CN"/>
        </w:rPr>
        <w:fldChar w:fldCharType="separate"/>
      </w:r>
      <w:r w:rsidR="00CE505E" w:rsidRPr="00CE505E">
        <w:t>1.</w:t>
      </w:r>
      <w:r w:rsidR="00CE505E" w:rsidRPr="00CE505E">
        <w:tab/>
        <w:t xml:space="preserve">D. Langmuir, </w:t>
      </w:r>
      <w:r w:rsidR="00CE505E" w:rsidRPr="00CE505E">
        <w:rPr>
          <w:i/>
        </w:rPr>
        <w:t>Aqueous environmental geochemistry</w:t>
      </w:r>
      <w:r w:rsidR="00CE505E" w:rsidRPr="00CE505E">
        <w:t xml:space="preserve"> (New Jersey, 1997).</w:t>
      </w:r>
    </w:p>
    <w:p w14:paraId="19774349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2.</w:t>
      </w:r>
      <w:r w:rsidRPr="00CE505E">
        <w:tab/>
        <w:t xml:space="preserve">S. Bains, R. M. Corfield, R. D. Norris, Mechanisms of Climate Warming at the End of the Paleocene. </w:t>
      </w:r>
      <w:r w:rsidRPr="00CE505E">
        <w:rPr>
          <w:i/>
        </w:rPr>
        <w:t>Science</w:t>
      </w:r>
      <w:r w:rsidRPr="00CE505E">
        <w:t xml:space="preserve"> </w:t>
      </w:r>
      <w:r w:rsidRPr="00CE505E">
        <w:rPr>
          <w:b/>
        </w:rPr>
        <w:t>285</w:t>
      </w:r>
      <w:r w:rsidRPr="00CE505E">
        <w:t>, 724–727 (1999).</w:t>
      </w:r>
    </w:p>
    <w:p w14:paraId="3A92300B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3.</w:t>
      </w:r>
      <w:r w:rsidRPr="00CE505E">
        <w:tab/>
        <w:t xml:space="preserve">M. Zhao, N. Planavsky, A. M. Oehlert, G. Wei, Z. Gong, Simulating meteoric and mixing zone carbonate diagenesis with a two-dimensional reactive transport model. </w:t>
      </w:r>
      <w:r w:rsidRPr="00CE505E">
        <w:rPr>
          <w:i/>
        </w:rPr>
        <w:t>American Journal of Science</w:t>
      </w:r>
      <w:r w:rsidRPr="00CE505E">
        <w:t xml:space="preserve"> </w:t>
      </w:r>
      <w:r w:rsidRPr="00CE505E">
        <w:rPr>
          <w:b/>
        </w:rPr>
        <w:t>320</w:t>
      </w:r>
      <w:r w:rsidRPr="00CE505E">
        <w:t>, 599-636 (2020).</w:t>
      </w:r>
    </w:p>
    <w:p w14:paraId="50DEB246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4.</w:t>
      </w:r>
      <w:r w:rsidRPr="00CE505E">
        <w:tab/>
        <w:t xml:space="preserve">I. Clark, </w:t>
      </w:r>
      <w:r w:rsidRPr="00CE505E">
        <w:rPr>
          <w:i/>
        </w:rPr>
        <w:t>Groundwater geochemistry and isotopes</w:t>
      </w:r>
      <w:r w:rsidRPr="00CE505E">
        <w:t xml:space="preserve"> (CRC press, 2015).</w:t>
      </w:r>
    </w:p>
    <w:p w14:paraId="0B0B2238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5.</w:t>
      </w:r>
      <w:r w:rsidRPr="00CE505E">
        <w:tab/>
        <w:t xml:space="preserve">J. M. Hayes, H. Strauss, A. J. Kaufman, The abundance of 13C in marine organic matter and isotopic fractionation in the global biogeochemical cycle of carbon during the past 800 Ma. </w:t>
      </w:r>
      <w:r w:rsidRPr="00CE505E">
        <w:rPr>
          <w:i/>
        </w:rPr>
        <w:t>Chemical Geology</w:t>
      </w:r>
      <w:r w:rsidRPr="00CE505E">
        <w:t xml:space="preserve"> </w:t>
      </w:r>
      <w:r w:rsidRPr="00CE505E">
        <w:rPr>
          <w:b/>
        </w:rPr>
        <w:t>161</w:t>
      </w:r>
      <w:r w:rsidRPr="00CE505E">
        <w:t>, 103-125 (1999).</w:t>
      </w:r>
    </w:p>
    <w:p w14:paraId="7CF9817F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6.</w:t>
      </w:r>
      <w:r w:rsidRPr="00CE505E">
        <w:tab/>
        <w:t xml:space="preserve">J. R. O'Neil, R. N. Clayton, T. K. Mayeda, Oxygen isotope fractionation in divalent metal carbonates. </w:t>
      </w:r>
      <w:r w:rsidRPr="00CE505E">
        <w:rPr>
          <w:i/>
        </w:rPr>
        <w:t>Journal of chemical physics</w:t>
      </w:r>
      <w:r w:rsidRPr="00CE505E">
        <w:t xml:space="preserve"> </w:t>
      </w:r>
      <w:r w:rsidRPr="00CE505E">
        <w:rPr>
          <w:b/>
        </w:rPr>
        <w:t>51</w:t>
      </w:r>
      <w:r w:rsidRPr="00CE505E">
        <w:t>, 5547-5558 (1969).</w:t>
      </w:r>
    </w:p>
    <w:p w14:paraId="0E1CCBAE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7.</w:t>
      </w:r>
      <w:r w:rsidRPr="00CE505E">
        <w:tab/>
        <w:t xml:space="preserve">A.-S. C. Ahm, C. J. Bjerrum, C. L. Blättler, P. K. Swart, J. A. Higgins, Quantifying early marine diagenesis in shallow-water carbonate sediments. </w:t>
      </w:r>
      <w:r w:rsidRPr="00CE505E">
        <w:rPr>
          <w:i/>
        </w:rPr>
        <w:t>Geochimica et Cosmochimica Acta</w:t>
      </w:r>
      <w:r w:rsidRPr="00CE505E">
        <w:t xml:space="preserve"> </w:t>
      </w:r>
      <w:r w:rsidRPr="00CE505E">
        <w:rPr>
          <w:b/>
        </w:rPr>
        <w:t>236</w:t>
      </w:r>
      <w:r w:rsidRPr="00CE505E">
        <w:t>, 140-159 (2018).</w:t>
      </w:r>
    </w:p>
    <w:p w14:paraId="0726AB13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8.</w:t>
      </w:r>
      <w:r w:rsidRPr="00CE505E">
        <w:tab/>
        <w:t xml:space="preserve">J. M. Weremeichik, R. I. Gabitov, B. M. J. Thien, A. Sadekov, The effect of growth rate on uranium partitioning between individual calcite crystals and fluid. </w:t>
      </w:r>
      <w:r w:rsidRPr="00CE505E">
        <w:rPr>
          <w:i/>
        </w:rPr>
        <w:t>Chemical Geology</w:t>
      </w:r>
      <w:r w:rsidRPr="00CE505E">
        <w:t xml:space="preserve"> </w:t>
      </w:r>
      <w:r w:rsidRPr="00CE505E">
        <w:rPr>
          <w:b/>
        </w:rPr>
        <w:t>450</w:t>
      </w:r>
      <w:r w:rsidRPr="00CE505E">
        <w:t>, 145-153 (2017).</w:t>
      </w:r>
    </w:p>
    <w:p w14:paraId="7C747CE6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9.</w:t>
      </w:r>
      <w:r w:rsidRPr="00CE505E">
        <w:tab/>
        <w:t xml:space="preserve">M. Rezaei, E. Sanz, E. Raeisi, C. Ayora, E. Vázquez-Suñé, J. Carrera, Reactive transport modeling of calcite dissolution in the fresh-salt water mixing zone. </w:t>
      </w:r>
      <w:r w:rsidRPr="00CE505E">
        <w:rPr>
          <w:i/>
        </w:rPr>
        <w:t>Journal of Hydrology</w:t>
      </w:r>
      <w:r w:rsidRPr="00CE505E">
        <w:t xml:space="preserve"> </w:t>
      </w:r>
      <w:r w:rsidRPr="00CE505E">
        <w:rPr>
          <w:b/>
        </w:rPr>
        <w:t>311</w:t>
      </w:r>
      <w:r w:rsidRPr="00CE505E">
        <w:t>, 282-298 (2005).</w:t>
      </w:r>
    </w:p>
    <w:p w14:paraId="415E8C19" w14:textId="77777777" w:rsidR="00CE505E" w:rsidRPr="00CE505E" w:rsidRDefault="00CE505E" w:rsidP="00CE505E">
      <w:pPr>
        <w:pStyle w:val="EndNoteBibliography"/>
        <w:spacing w:after="0"/>
        <w:ind w:left="720" w:hanging="720"/>
      </w:pPr>
      <w:r w:rsidRPr="00CE505E">
        <w:t>10.</w:t>
      </w:r>
      <w:r w:rsidRPr="00CE505E">
        <w:tab/>
        <w:t xml:space="preserve">J. R. Allan, R. K. Matthews, Isotope signatures associated with early meteoric diagenesis. </w:t>
      </w:r>
      <w:r w:rsidRPr="00CE505E">
        <w:rPr>
          <w:i/>
        </w:rPr>
        <w:t>Sedimentology</w:t>
      </w:r>
      <w:r w:rsidRPr="00CE505E">
        <w:t xml:space="preserve"> </w:t>
      </w:r>
      <w:r w:rsidRPr="00CE505E">
        <w:rPr>
          <w:b/>
        </w:rPr>
        <w:t>29</w:t>
      </w:r>
      <w:r w:rsidRPr="00CE505E">
        <w:t>, 797-817 (1982).</w:t>
      </w:r>
    </w:p>
    <w:p w14:paraId="7A0662EC" w14:textId="77777777" w:rsidR="00CE505E" w:rsidRPr="00CE505E" w:rsidRDefault="00CE505E" w:rsidP="00CE505E">
      <w:pPr>
        <w:pStyle w:val="EndNoteBibliography"/>
        <w:ind w:left="720" w:hanging="720"/>
      </w:pPr>
      <w:r w:rsidRPr="00CE505E">
        <w:t>11.</w:t>
      </w:r>
      <w:r w:rsidRPr="00CE505E">
        <w:tab/>
        <w:t xml:space="preserve">J. Allan, R. K. Matthews, Isotope signatures associated with early meteoric diagenesis. </w:t>
      </w:r>
      <w:r w:rsidRPr="00CE505E">
        <w:rPr>
          <w:i/>
        </w:rPr>
        <w:t>Carbonate diagenesis</w:t>
      </w:r>
      <w:r w:rsidRPr="00CE505E">
        <w:t>, 197-217 (1982).</w:t>
      </w:r>
    </w:p>
    <w:p w14:paraId="6228B94B" w14:textId="63316BEE" w:rsidR="00F3164D" w:rsidRDefault="005F7759">
      <w:pPr>
        <w:rPr>
          <w:lang w:eastAsia="zh-CN"/>
        </w:rPr>
      </w:pPr>
      <w:r>
        <w:rPr>
          <w:lang w:eastAsia="zh-CN"/>
        </w:rPr>
        <w:fldChar w:fldCharType="end"/>
      </w:r>
    </w:p>
    <w:sectPr w:rsidR="00F3164D" w:rsidSect="00F3164D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I0NTI0NDQztjQwsTBV0lEKTi0uzszPAykwqgUA8dH/Y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ience Advance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v0td2xrj2p0wve09tnv0e22pfwrwv5sawar&quot;&gt;My EndNote Library-Converted&lt;record-ids&gt;&lt;item&gt;1392&lt;/item&gt;&lt;item&gt;1573&lt;/item&gt;&lt;item&gt;1578&lt;/item&gt;&lt;item&gt;1824&lt;/item&gt;&lt;item&gt;1840&lt;/item&gt;&lt;item&gt;2211&lt;/item&gt;&lt;item&gt;2241&lt;/item&gt;&lt;item&gt;2244&lt;/item&gt;&lt;item&gt;2265&lt;/item&gt;&lt;item&gt;2291&lt;/item&gt;&lt;item&gt;2292&lt;/item&gt;&lt;/record-ids&gt;&lt;/item&gt;&lt;/Libraries&gt;"/>
  </w:docVars>
  <w:rsids>
    <w:rsidRoot w:val="00F3164D"/>
    <w:rsid w:val="0002319E"/>
    <w:rsid w:val="00050CA7"/>
    <w:rsid w:val="000D776B"/>
    <w:rsid w:val="001044C0"/>
    <w:rsid w:val="00110BB9"/>
    <w:rsid w:val="00142AF2"/>
    <w:rsid w:val="001842F7"/>
    <w:rsid w:val="00196A85"/>
    <w:rsid w:val="001B0B7E"/>
    <w:rsid w:val="00215928"/>
    <w:rsid w:val="00224EBB"/>
    <w:rsid w:val="00234FC0"/>
    <w:rsid w:val="002C4B3A"/>
    <w:rsid w:val="002C7376"/>
    <w:rsid w:val="003877B8"/>
    <w:rsid w:val="00391785"/>
    <w:rsid w:val="00415E73"/>
    <w:rsid w:val="0043423C"/>
    <w:rsid w:val="004A48DC"/>
    <w:rsid w:val="005046E7"/>
    <w:rsid w:val="005125FE"/>
    <w:rsid w:val="00534505"/>
    <w:rsid w:val="00544CC7"/>
    <w:rsid w:val="005F7759"/>
    <w:rsid w:val="00615F06"/>
    <w:rsid w:val="00663069"/>
    <w:rsid w:val="00710C50"/>
    <w:rsid w:val="008609D4"/>
    <w:rsid w:val="00920C59"/>
    <w:rsid w:val="009500E0"/>
    <w:rsid w:val="00960520"/>
    <w:rsid w:val="009A57C4"/>
    <w:rsid w:val="009C2404"/>
    <w:rsid w:val="00AC2CFD"/>
    <w:rsid w:val="00C358C5"/>
    <w:rsid w:val="00C56929"/>
    <w:rsid w:val="00CE505E"/>
    <w:rsid w:val="00D2139F"/>
    <w:rsid w:val="00D40D64"/>
    <w:rsid w:val="00DD0282"/>
    <w:rsid w:val="00DD6F43"/>
    <w:rsid w:val="00DF776A"/>
    <w:rsid w:val="00E32C1A"/>
    <w:rsid w:val="00E4418F"/>
    <w:rsid w:val="00E76082"/>
    <w:rsid w:val="00F05137"/>
    <w:rsid w:val="00F236CB"/>
    <w:rsid w:val="00F3164D"/>
    <w:rsid w:val="00F84C17"/>
    <w:rsid w:val="00F93A8B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A1F1"/>
  <w14:defaultImageDpi w14:val="32767"/>
  <w15:chartTrackingRefBased/>
  <w15:docId w15:val="{51A524AA-6D91-4280-93BC-D42C4F5F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BB9"/>
    <w:pPr>
      <w:spacing w:after="200" w:line="480" w:lineRule="auto"/>
      <w:jc w:val="both"/>
    </w:pPr>
    <w:rPr>
      <w:rFonts w:cstheme="minorBidi"/>
      <w:kern w:val="0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6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500E0"/>
    <w:pPr>
      <w:spacing w:after="0" w:line="240" w:lineRule="auto"/>
    </w:pPr>
    <w:rPr>
      <w:rFonts w:eastAsia="黑体" w:cstheme="majorBidi"/>
      <w:color w:val="4472C4" w:themeColor="accen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164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4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4D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64D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4D"/>
    <w:rPr>
      <w:rFonts w:asciiTheme="minorHAnsi" w:eastAsiaTheme="majorEastAsia" w:hAnsiTheme="minorHAnsi" w:cstheme="majorBidi"/>
      <w:color w:val="2F5496" w:themeColor="accent1" w:themeShade="BF"/>
      <w:kern w:val="0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4D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4D"/>
    <w:rPr>
      <w:rFonts w:asciiTheme="minorHAnsi" w:eastAsiaTheme="majorEastAsia" w:hAnsiTheme="minorHAnsi" w:cstheme="majorBidi"/>
      <w:color w:val="595959" w:themeColor="text1" w:themeTint="A6"/>
      <w:kern w:val="0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4D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4D"/>
    <w:rPr>
      <w:rFonts w:asciiTheme="minorHAnsi" w:eastAsiaTheme="majorEastAsia" w:hAnsiTheme="minorHAnsi" w:cstheme="majorBidi"/>
      <w:color w:val="272727" w:themeColor="text1" w:themeTint="D8"/>
      <w:kern w:val="0"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1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4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64D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31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64D"/>
    <w:rPr>
      <w:rFonts w:cstheme="minorBidi"/>
      <w:i/>
      <w:iCs/>
      <w:color w:val="404040" w:themeColor="text1" w:themeTint="BF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31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4D"/>
    <w:rPr>
      <w:rFonts w:cstheme="minorBidi"/>
      <w:i/>
      <w:iCs/>
      <w:color w:val="2F5496" w:themeColor="accent1" w:themeShade="BF"/>
      <w:kern w:val="0"/>
      <w:sz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F3164D"/>
    <w:rPr>
      <w:b/>
      <w:bCs/>
      <w:smallCaps/>
      <w:color w:val="2F5496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F7759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F7759"/>
    <w:rPr>
      <w:noProof/>
      <w:kern w:val="0"/>
      <w:sz w:val="24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5F7759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F7759"/>
    <w:rPr>
      <w:noProof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Guolin Xiong</dc:creator>
  <cp:keywords/>
  <dc:description/>
  <cp:lastModifiedBy>Guolin Xiong </cp:lastModifiedBy>
  <cp:revision>4</cp:revision>
  <dcterms:created xsi:type="dcterms:W3CDTF">2025-09-21T18:15:00Z</dcterms:created>
  <dcterms:modified xsi:type="dcterms:W3CDTF">2025-09-21T19:04:00Z</dcterms:modified>
</cp:coreProperties>
</file>