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Diagnostic de vulnérabilité thermique de Niort</w:t>
      </w:r>
    </w:p>
    <w:p>
      <w:pPr>
        <w:spacing w:after="300"/>
      </w:pPr>
      <w:r>
        <w:rPr>
          <w:i/>
          <w:iCs/>
          <w:sz w:val="26"/>
          <w:szCs w:val="26"/>
        </w:rPr>
        <w:t xml:space="preserve">Synthèse méthodologique</w:t>
      </w:r>
    </w:p>
    <w:p>
      <w:pPr>
        <w:pStyle w:val="Heading1"/>
        <w:spacing w:after="150" w:before="300"/>
      </w:pPr>
      <w:r>
        <w:t xml:space="preserve">1. Objectif</w:t>
      </w:r>
    </w:p>
    <w:p>
      <w:pPr>
        <w:spacing w:after="120"/>
      </w:pPr>
      <w:r>
        <w:t xml:space="preserve">Identifier, à l'échelle de la commune de Niort (Deux-Sèvres, 59 854 habitants, 68,4 km²), les secteurs cumulant le plus de facteurs de surchauffe urbaine, puis croiser ces secteurs avec des indicateurs de vulnérabilité sociale et démographique et avec la localisation d'établissements accueillant des populations sensibles (écoles primaires, crèches, EHPAD).</w:t>
      </w:r>
    </w:p>
    <w:p>
      <w:pPr>
        <w:spacing w:after="120"/>
      </w:pPr>
      <w:r>
        <w:t xml:space="preserve">Contrairement à un précédent travail portant sur 10 grandes villes françaises et centré sur le seul albédo des surfaces, cette étude combine quatre variables indépendantes (morphologie urbaine, albédo, température de surface mesurée, couvert végétal) au sein d'un indice composite, avant de le croiser avec des données socio-économiques.</w:t>
      </w:r>
    </w:p>
    <w:p>
      <w:pPr>
        <w:pStyle w:val="Heading1"/>
        <w:spacing w:after="150" w:before="300"/>
      </w:pPr>
      <w:r>
        <w:t xml:space="preserve">2. Sources de données et méthode par variable</w:t>
      </w:r>
    </w:p>
    <w:p>
      <w:pPr>
        <w:pStyle w:val="Heading2"/>
        <w:spacing w:after="100" w:before="220"/>
      </w:pPr>
      <w:r>
        <w:t xml:space="preserve">2.1 Zones climatiques locales (LCZ)</w:t>
      </w:r>
    </w:p>
    <w:p>
      <w:pPr>
        <w:spacing w:after="120"/>
      </w:pPr>
      <w:r>
        <w:t xml:space="preserve">Source : Cerema, cartographie nationale des zones climatiques locales, millésime 2022 (imagerie SPOT, BD TOPO IGN v3.3, référentiel Stewart &amp; Oke 2012 adapté). Niort fait partie des 83 premières aires urbaines couvertes (phase 1, avec découpage Urban Atlas).</w:t>
      </w:r>
    </w:p>
    <w:p>
      <w:pPr>
        <w:spacing w:after="120"/>
      </w:pPr>
      <w:r>
        <w:t xml:space="preserve">1721 polygones LCZ couvrent la commune, répartis en 13 classes (aucune classe de très haute densité de type tours). Chaque polygone porte, en plus de sa classe LCZ, des indicateurs morphologiques continus utilisés dans la suite de l'analyse : hauteur moyenne du bâti (hre), taux de surface bâtie (bur), taux de végétation (ver), entre autres.</w:t>
      </w:r>
    </w:p>
    <w:p>
      <w:pPr>
        <w:spacing w:after="120"/>
      </w:pPr>
      <w:r>
        <w:t xml:space="preserve">Point de vigilance vérifié en amont : ni l'albédo ni la température de surface n'entrent dans la construction de la classification LCZ elle-même (le Cerema exclut explicitement les indicateurs thermo-physiques du référentiel Stewart &amp; Oke, faute de données disponibles à l'échelle nationale au moment du développement de la méthode). LCZ, albédo et température de surface constituent donc trois sources réellement indépendantes, sans double-comptage dans l'indice composite construit plus loin.</w:t>
      </w:r>
    </w:p>
    <w:p>
      <w:pPr>
        <w:pStyle w:val="Heading2"/>
        <w:spacing w:after="100" w:before="220"/>
      </w:pPr>
      <w:r>
        <w:t xml:space="preserve">2.2 Albédo de surface</w:t>
      </w:r>
    </w:p>
    <w:p>
      <w:pPr>
        <w:spacing w:after="120"/>
      </w:pPr>
      <w:r>
        <w:t xml:space="preserve">Calculé à partir d'une scène Sentinel-2 L2A unique, sélectionnée selon deux critères méthodologiques : proximité du solstice d'été (élévation solaire maximale, donc ombres portées des bâtiments minimales) et couverture nuageuse nulle. La scène retenue date du 18 juin 2025 (0 % de nuages, élévation solaire 64,3°, une seule tuile suffisant à couvrir toute la commune). Sur les précédents travaux à 10 villes, les dates de prise de vue s'étalaient de juillet à septembre avec une couverture nuageuse parfois significative ; le choix resserré opéré ici limite ce biais.</w:t>
      </w:r>
    </w:p>
    <w:p>
      <w:pPr>
        <w:spacing w:after="120"/>
      </w:pPr>
      <w:r>
        <w:t xml:space="preserve">Formule appliquée : albédo = 0,2266×B02 + 0,1236×B03 + 0,1573×B04 + 0,3417×B08 + 0,1170×B11 + 0,0338×B12 (Bonafoni &amp; Sekertekin, 2020). Contrairement au travail sur 10 villes, aucun masque d'artificialisation n'a été appliqué : l'albédo est calculé sur l'intégralité de la commune, y compris les surfaces naturelles et l'eau, afin de permettre un calcul de moyenne par zone LCZ cohérent avec les classes non bâties du référentiel.</w:t>
      </w:r>
    </w:p>
    <w:p>
      <w:pPr>
        <w:spacing w:after="120"/>
      </w:pPr>
      <w:r>
        <w:t xml:space="preserve">Affinage de résolution par segmentation SLIC guidée par la BD ORTHO (résolution obtenue : environ 3 m/pixel), selon la même méthode que le projet à 10 villes.</w:t>
      </w:r>
    </w:p>
    <w:p>
      <w:pPr>
        <w:pStyle w:val="Heading2"/>
        <w:spacing w:after="100" w:before="220"/>
      </w:pPr>
      <w:r>
        <w:t xml:space="preserve">2.3 Température de surface (LST)</w:t>
      </w:r>
    </w:p>
    <w:p>
      <w:pPr>
        <w:spacing w:after="120"/>
      </w:pPr>
      <w:r>
        <w:t xml:space="preserve">Faute de mesure satellite fiable la nuit (moment le plus déterminant pour le risque sanitaire, mais non couvert par les capteurs optiques disponibles en accès libre), la température de surface a été construite comme un composite climatologique estival diurne, plutôt qu'une image instantanée : moyenne de 21 scènes Landsat 8/9 (bande thermique lwir11, produit Collection 2 Niveau 2, déjà fourni en température de surface), acquises entre juin et août sur la période 2021-2025, filtrées à moins de 20 % de nuages puis masquées pixel par pixel des nuages et ombres résiduelles via la bande de qualité QA_PIXEL.</w:t>
      </w:r>
    </w:p>
    <w:p>
      <w:pPr>
        <w:spacing w:after="120"/>
      </w:pPr>
      <w:r>
        <w:t xml:space="preserve">Chaque pixel du composite final repose sur 10 à 21 observations valides, sans aucun pixel resté sans donnée sur l'emprise communale. Moyenne obtenue : 40,7 °C (minimum 29,6 °C, maximum 52,2 °C), horaire de passage du satellite autour de 10h30, heure solaire locale.</w:t>
      </w:r>
    </w:p>
    <w:p>
      <w:pPr>
        <w:spacing w:after="120"/>
      </w:pPr>
      <w:r>
        <w:t xml:space="preserve">Ce choix climatologique (moyenne pluriannuelle) plutôt qu'un instantané vise la cohérence avec les autres variables, elles-mêmes des indicateurs structurels plutôt que des relevés d'un épisode météorologique particulier.</w:t>
      </w:r>
    </w:p>
    <w:p>
      <w:pPr>
        <w:pStyle w:val="Heading2"/>
        <w:spacing w:after="100" w:before="220"/>
      </w:pPr>
      <w:r>
        <w:t xml:space="preserve">2.4 Couvert végétal</w:t>
      </w:r>
    </w:p>
    <w:p>
      <w:pPr>
        <w:spacing w:after="120"/>
      </w:pPr>
      <w:r>
        <w:t xml:space="preserve">Source : Meta AI Research / World Resources Institute, Canopy Height Maps v2 (modèle DINOv3), résolution native environ 1 mètre. Ce jeu de données a été retenu après une première tentative infructueuse basée sur le MNH LiDAR HD de l'IGN croisé avec un masque bâti approximatif, qui produisait des confusions notables entre végétation et bâtiments dans les zones denses. Le modèle Meta, entraîné spécifiquement à reconnaître la canopée, ne présente pas ce défaut.</w:t>
      </w:r>
    </w:p>
    <w:p>
      <w:pPr>
        <w:spacing w:after="120"/>
      </w:pPr>
      <w:r>
        <w:t xml:space="preserve">Résultat : 9,0 % de couvert végétal sur la commune, hauteur moyenne 8,0 m (maximum 42 m). Le raster final ne conserve que les pixels de hauteur strictement positive et intérieurs à la commune ; les surfaces sans végétation sont transparentes plutôt que codées comme une valeur basse, pour éviter toute confusion visuelle.</w:t>
      </w:r>
    </w:p>
    <w:p>
      <w:pPr>
        <w:pStyle w:val="Heading1"/>
        <w:spacing w:after="150" w:before="300"/>
      </w:pPr>
      <w:r>
        <w:t xml:space="preserve">3. Construction de l'indice composite de chaleur cumulative</w:t>
      </w:r>
    </w:p>
    <w:p>
      <w:pPr>
        <w:spacing w:after="120"/>
      </w:pPr>
      <w:r>
        <w:t xml:space="preserve">Les trois variables continues (albédo, LST, morphologie) sont ramenées à une échelle commune par normalisation min-max, calée sur la plage de valeurs observée à Niort (choix privilégié sur la standardisation en z-score dans le cadre d'une étude mono-ville, conformément aux recommandations du Handbook on Constructing Composite Indicators, OCDE/JRC, 2008).</w:t>
      </w:r>
    </w:p>
    <w:p>
      <w:pPr>
        <w:spacing w:after="120"/>
      </w:pPr>
      <w:r>
        <w:t xml:space="preserve">La classe LCZ elle-même n'est pas utilisée comme variable numérique dans l'indice (ce sont des codes catégoriels, pas une échelle ordinale de chaleur). À la place, un indice de morphologie continu est construit à partir de deux indicateurs déjà présents dans le fichier LCZ : le taux de surface bâtie et le taux de végétation, combinés à parts égales.</w:t>
      </w:r>
    </w:p>
    <w:p>
      <w:pPr>
        <w:spacing w:after="120"/>
      </w:pPr>
      <w:r>
        <w:t xml:space="preserve">Chaque variable normalisée est orientée dans le même sens avant combinaison (valeur haute = risque élevé) : l'albédo est inversé (1 moins l'albédo normalisé), la LST et la morphologie restent telles quelles.</w:t>
      </w:r>
    </w:p>
    <w:p>
      <w:pPr>
        <w:spacing w:after="120"/>
      </w:pPr>
      <w:r>
        <w:t xml:space="preserve">Pondération retenue : égale entre les trois composantes (1/3 chacune), point de départ conventionnel en l'absence de justification théorique forte pour privilégier une variable. Cette pondération a été testée contre deux alternatives (LST à 50 % des composantes restantes réparties également, poids dérivés d'une analyse en composantes principales) : la corrélation de rang entre les trois versions atteint 0,93 à 0,98, et 71,6 % des zones du dernier quartile restent identiques quel que soit le schéma retenu. L'indice final est donc jugé raisonnablement robuste au choix de pondération.</w:t>
      </w:r>
    </w:p>
    <w:p>
      <w:pPr>
        <w:spacing w:after="120"/>
      </w:pPr>
      <w:r>
        <w:t xml:space="preserve">Fait notable révélé par l'analyse en composantes principales : sur le premier axe (74,8 % de variance expliquée), la morphologie pèse pour 68,7 %, la LST pour 24,2 %, l'albédo pour seulement 7,1 %. L'albédo apporte donc une information plus marginale que la morphologie et la température mesurée dans la variance réelle observée à Niort, tout en restant une variable pertinente à l'échelle du bâtiment individuel.</w:t>
      </w:r>
    </w:p>
    <w:p>
      <w:pPr>
        <w:pStyle w:val="Heading1"/>
        <w:spacing w:after="150" w:before="300"/>
      </w:pPr>
      <w:r>
        <w:t xml:space="preserve">4. Identification des zones prioritaires</w:t>
      </w:r>
    </w:p>
    <w:p>
      <w:pPr>
        <w:spacing w:after="120"/>
      </w:pPr>
      <w:r>
        <w:t xml:space="preserve">Les zones prioritaires correspondent au dernier quartile de l'indice composite (25 % des polygones LCZ aux valeurs les plus élevées), soit 429 polygones initialement identifiés, couvrant environ 12 % de la surface communale.</w:t>
      </w:r>
    </w:p>
    <w:p>
      <w:pPr>
        <w:spacing w:after="120"/>
      </w:pPr>
      <w:r>
        <w:t xml:space="preserve">Un artefact a été détecté et corrigé : deux polygones très majoritairement composés d'eau (75 à 86 % de surface en eau) se classaient à tort en zone prioritaire, du fait d'un albédo mesuré anormalement bas sur l'eau (la formule d'albédo utilisée n'est pas calibrée pour les surfaces aquatiques) alors que leur température de surface réellement mesurée est parmi les plus fraîches de la commune. Ces deux polygones ont été exclus, ramenant le nombre de zones prioritaires retenues à 429 (dont 405 disposent de données démographiques exploitables, les autres étant des fragments trop petits ou situés hors zone habitée).</w:t>
      </w:r>
    </w:p>
    <w:p>
      <w:pPr>
        <w:spacing w:after="120"/>
      </w:pPr>
      <w:r>
        <w:t xml:space="preserve">Profil moyen des zones prioritaires retenues : albédo 0,274, LST estivale 42,9 °C (contre 40,7 °C sur l'ensemble de la commune), 32,3 % de surface bâtie contre 17,6 % de végétation. Elles sont dominées par les classes LCZ 6 (bâti bas ouvert) et LCZ 8 (grand bâti bas), cette dernière étant la classe présentant la température de surface la plus élevée de toutes (44,5 °C en moyenne).</w:t>
      </w:r>
    </w:p>
    <w:p>
      <w:pPr>
        <w:pStyle w:val="Heading1"/>
        <w:spacing w:after="150" w:before="300"/>
      </w:pPr>
      <w:r>
        <w:t xml:space="preserve">5. Croisement avec les données socio-démographiques</w:t>
      </w:r>
    </w:p>
    <w:p>
      <w:pPr>
        <w:spacing w:after="120"/>
      </w:pPr>
      <w:r>
        <w:t xml:space="preserve">Source : INSEE, données carroyées Filosofi 2021, grille régulière de 200 mètres de côté (798 carreaux couvrant Niort), préférée à une agrégation par IRIS (26 zones seulement, aux contours irréguliers et sans rapport avec la morphologie urbaine) pour permettre un croisement géométrique propre avec les polygones LCZ, eux-mêmes de forme et de taille très variables.</w:t>
      </w:r>
    </w:p>
    <w:p>
      <w:pPr>
        <w:spacing w:after="120"/>
      </w:pPr>
      <w:r>
        <w:t xml:space="preserve">Pour chaque zone prioritaire, les indicateurs de population, de part des 65 ans et plus et de taux de pauvreté ont été recalculés par pondération surfacique : chaque carreau intersectant une zone prioritaire contribue au prorata de la part de sa surface effectivement recouverte par cette zone, plutôt que par un simple test d'appartenance du centre du carreau (plus robuste pour les petites zones ne couvrant qu'une fraction d'un carreau).</w:t>
      </w:r>
    </w:p>
    <w:p>
      <w:pPr>
        <w:spacing w:after="120"/>
      </w:pPr>
      <w:r>
        <w:t xml:space="preserve">Deux résultats distincts se dégagent, confirmant l'intérêt de traiter pauvreté et vieillissement comme deux thématiques séparées plutôt qu'un indice social unique :</w:t>
      </w:r>
    </w:p>
    <w:p>
      <w:pPr>
        <w:pStyle w:val="ListParagraph"/>
        <w:numPr>
          <w:ilvl w:val="0"/>
          <w:numId w:val="2"/>
        </w:numPr>
        <w:spacing w:after="60"/>
      </w:pPr>
      <w:r>
        <w:t xml:space="preserve">Pauvreté : corrélation nette avec la chaleur. Taux de pauvreté moyen de 15,7 % dans les zones prioritaires contre 8,9 % hors de ces zones, soit un écart de 6,8 points.</w:t>
      </w:r>
    </w:p>
    <w:p>
      <w:pPr>
        <w:pStyle w:val="ListParagraph"/>
        <w:numPr>
          <w:ilvl w:val="0"/>
          <w:numId w:val="2"/>
        </w:numPr>
        <w:spacing w:after="60"/>
      </w:pPr>
      <w:r>
        <w:t xml:space="preserve">Âge : aucune corrélation notable. Part des 65 ans et plus de 23,6 % dans les zones prioritaires contre 25,0 % hors zone, soit un écart nul, voire légèrement inversé.</w:t>
      </w:r>
    </w:p>
    <w:p>
      <w:pPr>
        <w:pStyle w:val="Heading1"/>
        <w:spacing w:after="150" w:before="300"/>
      </w:pPr>
      <w:r>
        <w:t xml:space="preserve">6. Croisement avec les établissements sensibles</w:t>
      </w:r>
    </w:p>
    <w:p>
      <w:pPr>
        <w:spacing w:after="120"/>
      </w:pPr>
      <w:r>
        <w:t xml:space="preserve">Trois catégories d'établissements accueillant des populations vulnérables à la chaleur ont été localisées et croisées avec les zones prioritaires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3962"/>
        <w:gridCol w:w="1189"/>
        <w:gridCol w:w="1783"/>
      </w:tblGrid>
      <w:tr>
        <w:trPr>
          <w:tblHeader/>
        </w:trPr>
        <w:tc>
          <w:tcPr>
            <w:tcW w:type="dxa" w:w="2972"/>
            <w:shd w:fill="D9D9D9" w:val="clear"/>
            <w:tcMar>
              <w:top w:type="dxa" w:w="60"/>
              <w:left w:type="dxa" w:w="100"/>
              <w:bottom w:type="dxa" w:w="60"/>
              <w:right w:type="dxa" w:w="100"/>
            </w:tcMar>
          </w:tcPr>
          <w:p>
            <w:pPr>
              <w:jc w:val="left"/>
            </w:pPr>
            <w:r>
              <w:rPr>
                <w:b/>
                <w:bCs/>
              </w:rPr>
              <w:t xml:space="preserve">Établissement</w:t>
            </w:r>
          </w:p>
        </w:tc>
        <w:tc>
          <w:tcPr>
            <w:tcW w:type="dxa" w:w="3962"/>
            <w:shd w:fill="D9D9D9" w:val="clear"/>
            <w:tcMar>
              <w:top w:type="dxa" w:w="60"/>
              <w:left w:type="dxa" w:w="100"/>
              <w:bottom w:type="dxa" w:w="60"/>
              <w:right w:type="dxa" w:w="100"/>
            </w:tcMar>
          </w:tcPr>
          <w:p>
            <w:pPr>
              <w:jc w:val="left"/>
            </w:pPr>
            <w:r>
              <w:rPr>
                <w:b/>
                <w:bCs/>
              </w:rPr>
              <w:t xml:space="preserve">Source</w:t>
            </w:r>
          </w:p>
        </w:tc>
        <w:tc>
          <w:tcPr>
            <w:tcW w:type="dxa" w:w="1189"/>
            <w:shd w:fill="D9D9D9" w:val="clear"/>
            <w:tcMar>
              <w:top w:type="dxa" w:w="60"/>
              <w:left w:type="dxa" w:w="100"/>
              <w:bottom w:type="dxa" w:w="60"/>
              <w:right w:type="dxa" w:w="100"/>
            </w:tcMar>
          </w:tcPr>
          <w:p>
            <w:pPr>
              <w:jc w:val="left"/>
            </w:pPr>
            <w:r>
              <w:rPr>
                <w:b/>
                <w:bCs/>
              </w:rPr>
              <w:t xml:space="preserve">Effectif</w:t>
            </w:r>
          </w:p>
        </w:tc>
        <w:tc>
          <w:tcPr>
            <w:tcW w:type="dxa" w:w="1783"/>
            <w:shd w:fill="D9D9D9" w:val="clear"/>
            <w:tcMar>
              <w:top w:type="dxa" w:w="60"/>
              <w:left w:type="dxa" w:w="100"/>
              <w:bottom w:type="dxa" w:w="60"/>
              <w:right w:type="dxa" w:w="100"/>
            </w:tcMar>
          </w:tcPr>
          <w:p>
            <w:pPr>
              <w:jc w:val="left"/>
            </w:pPr>
            <w:r>
              <w:rPr>
                <w:b/>
                <w:bCs/>
              </w:rPr>
              <w:t xml:space="preserve">En zone prioritaire</w:t>
            </w:r>
          </w:p>
        </w:tc>
      </w:tr>
      <w:tr>
        <w:tc>
          <w:tcPr>
            <w:tcW w:type="dxa" w:w="2972"/>
            <w:tcMar>
              <w:top w:type="dxa" w:w="60"/>
              <w:left w:type="dxa" w:w="100"/>
              <w:bottom w:type="dxa" w:w="60"/>
              <w:right w:type="dxa" w:w="100"/>
            </w:tcMar>
          </w:tcPr>
          <w:p>
            <w:pPr>
              <w:jc w:val="left"/>
            </w:pPr>
            <w:r>
              <w:rPr>
                <w:b w:val="false"/>
                <w:bCs w:val="false"/>
              </w:rPr>
              <w:t xml:space="preserve">Écoles primaires</w:t>
            </w:r>
          </w:p>
        </w:tc>
        <w:tc>
          <w:tcPr>
            <w:tcW w:type="dxa" w:w="3962"/>
            <w:tcMar>
              <w:top w:type="dxa" w:w="60"/>
              <w:left w:type="dxa" w:w="100"/>
              <w:bottom w:type="dxa" w:w="60"/>
              <w:right w:type="dxa" w:w="100"/>
            </w:tcMar>
          </w:tcPr>
          <w:p>
            <w:pPr>
              <w:jc w:val="left"/>
            </w:pPr>
            <w:r>
              <w:rPr>
                <w:b w:val="false"/>
                <w:bCs w:val="false"/>
              </w:rPr>
              <w:t xml:space="preserve">Ministère de l'Éducation nationale (data.education.gouv.fr)</w:t>
            </w:r>
          </w:p>
        </w:tc>
        <w:tc>
          <w:tcPr>
            <w:tcW w:type="dxa" w:w="1189"/>
            <w:tcMar>
              <w:top w:type="dxa" w:w="60"/>
              <w:left w:type="dxa" w:w="100"/>
              <w:bottom w:type="dxa" w:w="60"/>
              <w:right w:type="dxa" w:w="100"/>
            </w:tcMar>
          </w:tcPr>
          <w:p>
            <w:pPr>
              <w:jc w:val="left"/>
            </w:pPr>
            <w:r>
              <w:rPr>
                <w:b w:val="false"/>
                <w:bCs w:val="false"/>
              </w:rPr>
              <w:t xml:space="preserve">37</w:t>
            </w:r>
          </w:p>
        </w:tc>
        <w:tc>
          <w:tcPr>
            <w:tcW w:type="dxa" w:w="1783"/>
            <w:tcMar>
              <w:top w:type="dxa" w:w="60"/>
              <w:left w:type="dxa" w:w="100"/>
              <w:bottom w:type="dxa" w:w="60"/>
              <w:right w:type="dxa" w:w="100"/>
            </w:tcMar>
          </w:tcPr>
          <w:p>
            <w:pPr>
              <w:jc w:val="left"/>
            </w:pPr>
            <w:r>
              <w:rPr>
                <w:b w:val="false"/>
                <w:bCs w:val="false"/>
              </w:rPr>
              <w:t xml:space="preserve">13 (35 %)</w:t>
            </w:r>
          </w:p>
        </w:tc>
      </w:tr>
      <w:tr>
        <w:tc>
          <w:tcPr>
            <w:tcW w:type="dxa" w:w="2972"/>
            <w:tcMar>
              <w:top w:type="dxa" w:w="60"/>
              <w:left w:type="dxa" w:w="100"/>
              <w:bottom w:type="dxa" w:w="60"/>
              <w:right w:type="dxa" w:w="100"/>
            </w:tcMar>
          </w:tcPr>
          <w:p>
            <w:pPr>
              <w:jc w:val="left"/>
            </w:pPr>
            <w:r>
              <w:rPr>
                <w:b w:val="false"/>
                <w:bCs w:val="false"/>
              </w:rPr>
              <w:t xml:space="preserve">EHPAD</w:t>
            </w:r>
          </w:p>
        </w:tc>
        <w:tc>
          <w:tcPr>
            <w:tcW w:type="dxa" w:w="3962"/>
            <w:tcMar>
              <w:top w:type="dxa" w:w="60"/>
              <w:left w:type="dxa" w:w="100"/>
              <w:bottom w:type="dxa" w:w="60"/>
              <w:right w:type="dxa" w:w="100"/>
            </w:tcMar>
          </w:tcPr>
          <w:p>
            <w:pPr>
              <w:jc w:val="left"/>
            </w:pPr>
            <w:r>
              <w:rPr>
                <w:b w:val="false"/>
                <w:bCs w:val="false"/>
              </w:rPr>
              <w:t xml:space="preserve">FINESS, via AtlaSanté (DREES)</w:t>
            </w:r>
          </w:p>
        </w:tc>
        <w:tc>
          <w:tcPr>
            <w:tcW w:type="dxa" w:w="1189"/>
            <w:tcMar>
              <w:top w:type="dxa" w:w="60"/>
              <w:left w:type="dxa" w:w="100"/>
              <w:bottom w:type="dxa" w:w="60"/>
              <w:right w:type="dxa" w:w="100"/>
            </w:tcMar>
          </w:tcPr>
          <w:p>
            <w:pPr>
              <w:jc w:val="left"/>
            </w:pPr>
            <w:r>
              <w:rPr>
                <w:b w:val="false"/>
                <w:bCs w:val="false"/>
              </w:rPr>
              <w:t xml:space="preserve">8</w:t>
            </w:r>
          </w:p>
        </w:tc>
        <w:tc>
          <w:tcPr>
            <w:tcW w:type="dxa" w:w="1783"/>
            <w:tcMar>
              <w:top w:type="dxa" w:w="60"/>
              <w:left w:type="dxa" w:w="100"/>
              <w:bottom w:type="dxa" w:w="60"/>
              <w:right w:type="dxa" w:w="100"/>
            </w:tcMar>
          </w:tcPr>
          <w:p>
            <w:pPr>
              <w:jc w:val="left"/>
            </w:pPr>
            <w:r>
              <w:rPr>
                <w:b w:val="false"/>
                <w:bCs w:val="false"/>
              </w:rPr>
              <w:t xml:space="preserve">3 (38 %)</w:t>
            </w:r>
          </w:p>
        </w:tc>
      </w:tr>
      <w:tr>
        <w:tc>
          <w:tcPr>
            <w:tcW w:type="dxa" w:w="2972"/>
            <w:tcMar>
              <w:top w:type="dxa" w:w="60"/>
              <w:left w:type="dxa" w:w="100"/>
              <w:bottom w:type="dxa" w:w="60"/>
              <w:right w:type="dxa" w:w="100"/>
            </w:tcMar>
          </w:tcPr>
          <w:p>
            <w:pPr>
              <w:jc w:val="left"/>
            </w:pPr>
            <w:r>
              <w:rPr>
                <w:b w:val="false"/>
                <w:bCs w:val="false"/>
              </w:rPr>
              <w:t xml:space="preserve">Crèches et haltes-garderies</w:t>
            </w:r>
          </w:p>
        </w:tc>
        <w:tc>
          <w:tcPr>
            <w:tcW w:type="dxa" w:w="3962"/>
            <w:tcMar>
              <w:top w:type="dxa" w:w="60"/>
              <w:left w:type="dxa" w:w="100"/>
              <w:bottom w:type="dxa" w:w="60"/>
              <w:right w:type="dxa" w:w="100"/>
            </w:tcMar>
          </w:tcPr>
          <w:p>
            <w:pPr>
              <w:jc w:val="left"/>
            </w:pPr>
            <w:r>
              <w:rPr>
                <w:b w:val="false"/>
                <w:bCs w:val="false"/>
              </w:rPr>
              <w:t xml:space="preserve">Portail open data de Niort</w:t>
            </w:r>
          </w:p>
        </w:tc>
        <w:tc>
          <w:tcPr>
            <w:tcW w:type="dxa" w:w="1189"/>
            <w:tcMar>
              <w:top w:type="dxa" w:w="60"/>
              <w:left w:type="dxa" w:w="100"/>
              <w:bottom w:type="dxa" w:w="60"/>
              <w:right w:type="dxa" w:w="100"/>
            </w:tcMar>
          </w:tcPr>
          <w:p>
            <w:pPr>
              <w:jc w:val="left"/>
            </w:pPr>
            <w:r>
              <w:rPr>
                <w:b w:val="false"/>
                <w:bCs w:val="false"/>
              </w:rPr>
              <w:t xml:space="preserve">10</w:t>
            </w:r>
          </w:p>
        </w:tc>
        <w:tc>
          <w:tcPr>
            <w:tcW w:type="dxa" w:w="1783"/>
            <w:tcMar>
              <w:top w:type="dxa" w:w="60"/>
              <w:left w:type="dxa" w:w="100"/>
              <w:bottom w:type="dxa" w:w="60"/>
              <w:right w:type="dxa" w:w="100"/>
            </w:tcMar>
          </w:tcPr>
          <w:p>
            <w:pPr>
              <w:jc w:val="left"/>
            </w:pPr>
            <w:r>
              <w:rPr>
                <w:b w:val="false"/>
                <w:bCs w:val="false"/>
              </w:rPr>
              <w:t xml:space="preserve">8 (80 %)</w:t>
            </w:r>
          </w:p>
        </w:tc>
      </w:tr>
    </w:tbl>
    <w:p>
      <w:pPr>
        <w:spacing w:after="120"/>
      </w:pPr>
      <w:r>
        <w:t xml:space="preserve"/>
      </w:r>
    </w:p>
    <w:p>
      <w:pPr>
        <w:spacing w:after="120"/>
      </w:pPr>
      <w:r>
        <w:t xml:space="preserve">Les zones prioritaires ne couvrant que 12 % de la surface communale, une telle sur-représentation, en particulier pour les crèches, constitue un signal fort plutôt qu'un effet du hasard. Pour les crèches, la source retenue est le portail open data propre à la ville de Niort plutôt qu'OpenStreetMap, ce dernier n'en recensant que 2 sur le territoire communal contre 10 dans la source officielle.</w:t>
      </w:r>
    </w:p>
    <w:p>
      <w:pPr>
        <w:pStyle w:val="Heading1"/>
        <w:spacing w:after="150" w:before="300"/>
      </w:pPr>
      <w:r>
        <w:t xml:space="preserve">7. Limites méthodologiques</w:t>
      </w:r>
    </w:p>
    <w:p>
      <w:pPr>
        <w:pStyle w:val="ListParagraph"/>
        <w:numPr>
          <w:ilvl w:val="0"/>
          <w:numId w:val="2"/>
        </w:numPr>
        <w:spacing w:after="60"/>
      </w:pPr>
      <w:r>
        <w:t xml:space="preserve">La classification LCZ (2022) et la BD TOPO sous-jacente ont jusqu'à 3 ans d'écart avec les données Sentinel-2 et Landsat utilisées (2021-2025), et jusqu'à 7 ans avec les données socio-démographiques les plus anciennes mobilisées.</w:t>
      </w:r>
    </w:p>
    <w:p>
      <w:pPr>
        <w:pStyle w:val="ListParagraph"/>
        <w:numPr>
          <w:ilvl w:val="0"/>
          <w:numId w:val="2"/>
        </w:numPr>
        <w:spacing w:after="60"/>
      </w:pPr>
      <w:r>
        <w:t xml:space="preserve">Certains polygones LCZ sont plus petits que le seuil théorique de 200 m de rayon recommandé par le référentiel Stewart &amp; Oke, notamment en bordure de commune ; l'analyse en tient compte en raisonnant par zone plutôt que par polygone isolé, mais un polygone de 40 m² est resté sans donnée d'albédo faute de pixel satellite exploitable en son sein.</w:t>
      </w:r>
    </w:p>
    <w:p>
      <w:pPr>
        <w:pStyle w:val="ListParagraph"/>
        <w:numPr>
          <w:ilvl w:val="0"/>
          <w:numId w:val="2"/>
        </w:numPr>
        <w:spacing w:after="60"/>
      </w:pPr>
      <w:r>
        <w:t xml:space="preserve">Le découpage LCZ ne suit pas nécessairement les limites communales avec exactitude (hérité du découpage par aire urbaine du Cerema), ce qui peut introduire des écarts mineurs en bordure de commune.</w:t>
      </w:r>
    </w:p>
    <w:p>
      <w:pPr>
        <w:pStyle w:val="ListParagraph"/>
        <w:numPr>
          <w:ilvl w:val="0"/>
          <w:numId w:val="2"/>
        </w:numPr>
        <w:spacing w:after="60"/>
      </w:pPr>
      <w:r>
        <w:t xml:space="preserve">La température de surface mesure un état diurne (passage satellite vers 10h30) ; elle ne capture pas la capacité d'un secteur à évacuer la chaleur la nuit, pourtant identifiée comme le moment le plus critique pour le risque sanitaire par la littérature sur les îlots de chaleur urbains, faute de capteur satellite adapté en accès libre.</w:t>
      </w:r>
    </w:p>
    <w:p>
      <w:pPr>
        <w:pStyle w:val="ListParagraph"/>
        <w:numPr>
          <w:ilvl w:val="0"/>
          <w:numId w:val="2"/>
        </w:numPr>
        <w:spacing w:after="60"/>
      </w:pPr>
      <w:r>
        <w:t xml:space="preserve">Les indicateurs socio-démographiques par zone prioritaire sont des estimations par interpolation surfacique à partir d'une grille de 200 m, pas un recensement direct à l'échelle du polygone LCZ.</w:t>
      </w:r>
    </w:p>
    <w:p>
      <w:pPr>
        <w:pStyle w:val="ListParagraph"/>
        <w:numPr>
          <w:ilvl w:val="0"/>
          <w:numId w:val="2"/>
        </w:numPr>
        <w:spacing w:after="60"/>
      </w:pPr>
      <w:r>
        <w:t xml:space="preserve">L'indice composite reste, malgré le test de robustesse effectué, un choix de pondération parmi d'autres plausibles ; la variable dominante (morphologie urbaine) mériterait d'être affinée si l'outil devait servir de base réglementaire plutôt qu'exploratoire.</w:t>
      </w:r>
    </w:p>
    <w:p>
      <w:pPr>
        <w:pStyle w:val="Heading1"/>
        <w:spacing w:after="150" w:before="300"/>
      </w:pPr>
      <w:r>
        <w:t xml:space="preserve">8. Outils et reproductibilité</w:t>
      </w:r>
    </w:p>
    <w:p>
      <w:pPr>
        <w:spacing w:after="120"/>
      </w:pPr>
      <w:r>
        <w:t xml:space="preserve">L'ensemble de la chaîne a été exécuté dans QGIS (Python/PyQGIS, GDAL, NumPy, SciPy, scikit-image), à partir de sources ouvertes accessibles sans authentification à l'exception des données de rayonnement solaire EUMETSAT et du carroyage INSEE (inscriptions gratuites), ce qui rend le traitement reproductible et transposable à d'autres communes françaises couvertes par la donnée LCZ du Cerema.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2026-07-21T08:24:22.807Z</dcterms:created>
  <dcterms:modified xsi:type="dcterms:W3CDTF">2026-07-21T08:24:22.821Z</dcterms:modified>
</cp:coreProperties>
</file>

<file path=docProps/custom.xml><?xml version="1.0" encoding="utf-8"?>
<Properties xmlns="http://schemas.openxmlformats.org/officeDocument/2006/custom-properties" xmlns:vt="http://schemas.openxmlformats.org/officeDocument/2006/docPropsVTypes"/>
</file>