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InsurMinds_PROTETOR — Relatório Técnico</w:t>
      </w:r>
    </w:p>
    <w:p>
      <w:pPr>
        <w:spacing w:after="120"/>
      </w:pPr>
      <w:r>
        <w:rPr>
          <w:b/>
          <w:bCs/>
        </w:rPr>
        <w:t xml:space="preserve">Plataforma inteligente para análise e comparação de apólices D&amp;O</w:t>
      </w:r>
      <w:r>
        <w:br/>
      </w:r>
      <w:r>
        <w:t xml:space="preserve">Projeto Final · I2A2 — Instituto de Inteligência Artificial Aplicada · Outubro de 2026</w:t>
      </w:r>
      <w:r>
        <w:br/>
      </w:r>
      <w:r>
        <w:t xml:space="preserve">Grupo </w:t>
      </w:r>
      <w:r>
        <w:rPr>
          <w:b/>
          <w:bCs/>
        </w:rPr>
        <w:t xml:space="preserve">Gp_Protetor</w:t>
      </w:r>
      <w:r>
        <w:t xml:space="preserve"> — Ricardo Croce (Chefe), José Carlos dos Passos, Renato Sant Anna, Tiago Del Rio e Juliano Silva Ignacio.</w:t>
      </w:r>
      <w:r>
        <w:br/>
      </w:r>
      <w:r>
        <w:t xml:space="preserve">Repositório: </w:t>
      </w:r>
      <w:hyperlink w:history="1" r:id="rIddqrqebzhyxdasa6vuowc7">
        <w:r>
          <w:rPr>
            <w:rStyle w:val="Hyperlink"/>
          </w:rPr>
          <w:t xml:space="preserve">https://github.com/Georastreador/InsurMinds_Projeto_Final_PROTETOR</w:t>
        </w:r>
      </w:hyperlink>
    </w:p>
    <w:p>
      <w:pPr>
        <w:pStyle w:val="Heading1"/>
      </w:pPr>
      <w:r>
        <w:t xml:space="preserve">1. Resumo</w:t>
      </w:r>
    </w:p>
    <w:p>
      <w:pPr>
        <w:spacing w:after="120"/>
      </w:pPr>
      <w:r>
        <w:t xml:space="preserve">O InsurMinds_PROTETOR é um MVP que recebe duas apólices ou condições contratuais de seguro D&amp;O (Directors &amp; Officers) em PDF ou imagem, extrai e estrutura seu conteúdo com IA generativa, compara coberturas, exclusões, franquias, limites e cláusulas, e apresenta ao analista uma síntese executiva em que cada diferença aponta a página de origem. O sistema não recomenda qual apólice contratar: descreve diferenças documentais e deixa a decisão ao especialista.</w:t>
      </w:r>
    </w:p>
    <w:p>
      <w:pPr>
        <w:spacing w:after="120"/>
      </w:pPr>
      <w:r>
        <w:t xml:space="preserve">A solução é um </w:t>
      </w:r>
      <w:r>
        <w:rPr>
          <w:b/>
          <w:bCs/>
        </w:rPr>
        <w:t xml:space="preserve">workflow orquestrado</w:t>
      </w:r>
      <w:r>
        <w:t xml:space="preserve">: um </w:t>
      </w:r>
      <w:r>
        <w:rPr>
          <w:b/>
          <w:bCs/>
        </w:rPr>
        <w:t xml:space="preserve">Harness</w:t>
      </w:r>
      <w:r>
        <w:t xml:space="preserve"> (orquestrador com máquina de estados) decide a sequência e controla seis etapas especializadas (A1 a A6) e uma etapa de consulta sob demanda. As etapas não decidem o fluxo; essa escolha privilegia previsibilidade e auditabilidade. Usa a API da OpenAI em seis pontos: OCR multimodal, extração estruturada, julgamento semântico da comparação, redação da síntese, respostas de consulta e classificador do guardrail anti-veredito.</w:t>
      </w:r>
    </w:p>
    <w:p>
      <w:pPr>
        <w:spacing w:after="120"/>
      </w:pPr>
      <w:r>
        <w:t xml:space="preserve">No conjunto de avaliação principal (condições gerais D&amp;O da Chubb e da Sompo, com anotação humana), três execuções LIVE reavaliadas em conjunto mostram: extração correta de todos os campos com valor anotado; evidência na página anotada em 100% dos casos e 98–100% dos trechos citados conferidos no texto da página; e acurácia de comparação de 0,77 em média (pior caso 0,70) no gabarito original v1.0, abaixo da meta de 0,90. No gabarito revisado v1.1, a média é 0,97. Uma análise completa de dois documentos de 50 a 70 páginas leva cerca de 3 minutos.</w:t>
      </w:r>
    </w:p>
    <w:p>
      <w:pPr>
        <w:pStyle w:val="Heading1"/>
      </w:pPr>
      <w:r>
        <w:t xml:space="preserve">2. Problema e objetivos</w:t>
      </w:r>
    </w:p>
    <w:p>
      <w:pPr>
        <w:spacing w:after="120"/>
      </w:pPr>
      <w:r>
        <w:t xml:space="preserve">Apólices de seguro são documentos longos e jurídicos. Em D&amp;O, cada seguradora organiza coberturas, extensões, exclusões e cláusulas de forma própria, com nomes diferentes para conceitos equivalentes, e muitos valores (limites, franquias, vigência) ficam na Especificação da Apólice, não nas condições gerais. A comparação manual exige horas de leitura especializada.</w:t>
      </w:r>
    </w:p>
    <w:p>
      <w:pPr>
        <w:spacing w:after="120"/>
      </w:pPr>
      <w:r>
        <w:t xml:space="preserve">Objetivos do MVP: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Receber documentos em PDF ou imagem e extrair o conteúdo automaticamente.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Estruturar a informação num formato comum e armazená-la.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Comparar ao menos duas apólices, identificando diferenças materiais.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Apresentar as principais diferenças com rastreabilidade Claim → Evidence (página e trecho).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Permitir consulta ao acervo de documentos processados.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Usar IA generativa de forma controlada: sem inventar fatos e sem emitir veredito.</w:t>
      </w:r>
    </w:p>
    <w:p>
      <w:pPr>
        <w:pStyle w:val="Heading1"/>
      </w:pPr>
      <w:r>
        <w:t xml:space="preserve">3. Arquitetura da solução</w:t>
      </w:r>
    </w:p>
    <w:p>
      <w:pPr>
        <w:spacing w:after="120"/>
      </w:pPr>
      <w:r>
        <w:t xml:space="preserve">A solução tem quatro camadas: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Orquestração (Harness).</w:t>
      </w:r>
      <w:r>
        <w:t xml:space="preserve"> O </w:t>
      </w:r>
      <w:r>
        <w:rPr>
          <w:rFonts w:ascii="Courier New" w:cs="Courier New" w:eastAsia="Courier New" w:hAnsi="Courier New"/>
          <w:sz w:val="18"/>
          <w:szCs w:val="18"/>
        </w:rPr>
        <w:t xml:space="preserve">Orchestrator</w:t>
      </w:r>
      <w:r>
        <w:t xml:space="preserve"> mantém uma máquina de estados explícita (</w:t>
      </w:r>
      <w:r>
        <w:rPr>
          <w:rFonts w:ascii="Courier New" w:cs="Courier New" w:eastAsia="Courier New" w:hAnsi="Courier New"/>
          <w:sz w:val="18"/>
          <w:szCs w:val="18"/>
        </w:rPr>
        <w:t xml:space="preserve">CREATED → INGESTING → EXTRACTING → ANALYZING → VALIDATING → READY_TO_COMPARE → COMPARING → SYNTHESIZING → COMPLETED</w:t>
      </w:r>
      <w:r>
        <w:t xml:space="preserve">, com </w:t>
      </w:r>
      <w:r>
        <w:rPr>
          <w:rFonts w:ascii="Courier New" w:cs="Courier New" w:eastAsia="Courier New" w:hAnsi="Courier New"/>
          <w:sz w:val="18"/>
          <w:szCs w:val="18"/>
        </w:rPr>
        <w:t xml:space="preserve">RETRYING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WARNING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REVIEW_REQUIRED</w:t>
      </w:r>
      <w:r>
        <w:t xml:space="preserve"> e </w:t>
      </w:r>
      <w:r>
        <w:rPr>
          <w:rFonts w:ascii="Courier New" w:cs="Courier New" w:eastAsia="Courier New" w:hAnsi="Courier New"/>
          <w:sz w:val="18"/>
          <w:szCs w:val="18"/>
        </w:rPr>
        <w:t xml:space="preserve">FAILED</w:t>
      </w:r>
      <w:r>
        <w:t xml:space="preserve"> como estados de exceção) e rejeita transições não previstas. O </w:t>
      </w:r>
      <w:r>
        <w:rPr>
          <w:rFonts w:ascii="Courier New" w:cs="Courier New" w:eastAsia="Courier New" w:hAnsi="Courier New"/>
          <w:sz w:val="18"/>
          <w:szCs w:val="18"/>
        </w:rPr>
        <w:t xml:space="preserve">CompleteMVPPipeline</w:t>
      </w:r>
      <w:r>
        <w:t xml:space="preserve"> executa os dois documentos sob um único </w:t>
      </w:r>
      <w:r>
        <w:rPr>
          <w:rFonts w:ascii="Courier New" w:cs="Courier New" w:eastAsia="Courier New" w:hAnsi="Courier New"/>
          <w:sz w:val="18"/>
          <w:szCs w:val="18"/>
        </w:rPr>
        <w:t xml:space="preserve">run_id</w:t>
      </w:r>
      <w:r>
        <w:t xml:space="preserve"> (A e B percorrem A1→A4 em paralelo; toda mudança de estado passa pelo </w:t>
      </w:r>
      <w:r>
        <w:rPr>
          <w:rFonts w:ascii="Courier New" w:cs="Courier New" w:eastAsia="Courier New" w:hAnsi="Courier New"/>
          <w:sz w:val="18"/>
          <w:szCs w:val="18"/>
        </w:rPr>
        <w:t xml:space="preserve">Orchestrator</w:t>
      </w:r>
      <w:r>
        <w:t xml:space="preserve">), verifica cada trecho de evidência no texto da página, avalia o escopo (ramo e natureza do documento), emite o progresso para a interface, registra cada evento no trace e persiste os artefatos.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Agentes especializados (A1 a A6 e Consulta).</w:t>
      </w:r>
      <w:r>
        <w:t xml:space="preserve"> Cada agente recebe uma entrada tipada e devolve uma saída tipada; nenhum decide a sequência, repete a si mesmo ou encerra a execução. Quatro deles usam IA generativa (A2 no OCR, A3, A5 e A6), sempre atrás de um contrato Pydantic e de guardrails no código.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Infraestrutura.</w:t>
      </w:r>
      <w:r>
        <w:t xml:space="preserve"> A API da OpenAI é acessada por adaptadores que implementam contratos neutros de provedor (</w:t>
      </w:r>
      <w:r>
        <w:rPr>
          <w:rFonts w:ascii="Courier New" w:cs="Courier New" w:eastAsia="Courier New" w:hAnsi="Courier New"/>
          <w:sz w:val="18"/>
          <w:szCs w:val="18"/>
        </w:rPr>
        <w:t xml:space="preserve">StructuredLLMClient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SemanticComparator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SynthesisWriter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OCREngine</w:t>
      </w:r>
      <w:r>
        <w:t xml:space="preserve">), o que permite testar tudo com implementações simuladas e trocar o modelo por configuração. O SQLite guarda runs, documentos, textos, apólices, comparações e relatórios, e alimenta a Consulta.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Interface.</w:t>
      </w:r>
      <w:r>
        <w:t xml:space="preserve"> O Streamlit separa a experiência do analista (Resumo, Comparação, Evidências, Apólices, Consulta) da observabilidade técnica (Auditoria da IA), mostra estimativa de tempo e progresso por agente e reabre runs gravados no modo apresentação.</w:t>
      </w:r>
    </w:p>
    <w:p>
      <w:pPr>
        <w:spacing w:after="60" w:before="120"/>
        <w:jc w:val="center"/>
      </w:pPr>
      <w:r>
        <w:drawing>
          <wp:inline distT="0" distB="0" distL="0" distR="0">
            <wp:extent cx="6124575" cy="4038600"/>
            <wp:effectExtent t="0" r="0" b="0" l="0"/>
            <wp:docPr id="1" name="Arquitetura do InsurMinds_PROTETOR" descr="Arquitetura do InsurMinds_PROTETOR" title="Arquitetura do InsurMinds_PROTE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iCs/>
        </w:rPr>
        <w:t xml:space="preserve">Figura 1 — Arquitetura do InsurMinds_PROTETOR. Em lilás, os componentes que usam IA generativa; em cinza, os determinísticos. A seta tracejada laranja é o ciclo de nova tentativa controlado pelo Harness.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Contrato</w:t>
            </w:r>
          </w:p>
        </w:tc>
        <w:tc>
          <w:tcPr>
            <w:tcW w:type="dxa" w:w="741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Papel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PolicySchema</w:t>
            </w:r>
          </w:p>
        </w:tc>
        <w:tc>
          <w:tcPr>
            <w:tcW w:type="dxa" w:w="741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Representação canônica de um documento: identificação, vigência, limites, franquias, Sides A/B/C, coberturas, exclusões, cláusulas, extensões, ramo, natureza do documento e evidências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ComparisonResult</w:t>
            </w:r>
          </w:p>
        </w:tc>
        <w:tc>
          <w:tcPr>
            <w:tcW w:type="dxa" w:w="741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Um item por campo ou conceito comparado, com valores de A e B, evidência de cada lado, estado controlado, confiança e critério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InsurMindsState</w:t>
            </w:r>
          </w:p>
        </w:tc>
        <w:tc>
          <w:tcPr>
            <w:tcW w:type="dxa" w:w="741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Estado compartilhado do run: documentos, textos, apólices, comparação, síntese, métricas, avisos e trace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Taxonomia D&amp;O</w:t>
            </w:r>
          </w:p>
        </w:tc>
        <w:tc>
          <w:tcPr>
            <w:tcW w:type="dxa" w:w="741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18 conceitos de cobertura, 17 de exclusão e 23 de cláusula (estrutura SUSEP), usados para parear itens entre seguradoras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Princípio central:</w:t>
      </w:r>
      <w:r>
        <w:t xml:space="preserve"> o Harness controla o sistema; os agentes executam funções delimitadas. Isso torna o comportamento previsível, auditável e testável sem chamadas de API.</w:t>
      </w:r>
    </w:p>
    <w:p>
      <w:pPr>
        <w:pStyle w:val="Heading1"/>
      </w:pPr>
      <w:r>
        <w:t xml:space="preserve">4. Fluxo completo de processamento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Upload:</w:t>
      </w:r>
      <w:r>
        <w:t xml:space="preserve"> o analista envia A e B. A interface mostra páginas, tamanho, páginas digitalizadas e o tempo estimado.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A1 Intake:</w:t>
      </w:r>
      <w:r>
        <w:t xml:space="preserve"> valida existência, tamanho e formato (PDF, PNG, JPG) e registra metadados.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A2 Extraction:</w:t>
      </w:r>
      <w:r>
        <w:t xml:space="preserve"> extrai o texto nativo por página com PyMuPDF e insere marcadores </w:t>
      </w:r>
      <w:r>
        <w:rPr>
          <w:rFonts w:ascii="Courier New" w:cs="Courier New" w:eastAsia="Courier New" w:hAnsi="Courier New"/>
          <w:sz w:val="18"/>
          <w:szCs w:val="18"/>
        </w:rPr>
        <w:t xml:space="preserve">[[PÁGINA n]]</w:t>
      </w:r>
      <w:r>
        <w:t xml:space="preserve">. Páginas com imagem e sem camada de texto, e arquivos de imagem, passam por OCR multimodal com GPT, em lotes de 4 páginas, com transcrição literal.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A3 Análise:</w:t>
      </w:r>
      <w:r>
        <w:t xml:space="preserve"> o LLM recebe o texto (até 300 mil caracteres; acima disso mantêm-se as primeiras páginas e as de maior densidade contratual, com aviso) e preenche o </w:t>
      </w:r>
      <w:r>
        <w:rPr>
          <w:rFonts w:ascii="Courier New" w:cs="Courier New" w:eastAsia="Courier New" w:hAnsi="Courier New"/>
          <w:sz w:val="18"/>
          <w:szCs w:val="18"/>
        </w:rPr>
        <w:t xml:space="preserve">PolicySchema</w:t>
      </w:r>
      <w:r>
        <w:t xml:space="preserve"> via Structured Outputs com JSON Schema estrito. Classifica ramo, natureza do documento e o conceito D&amp;O de cada item.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A4 Validação:</w:t>
      </w:r>
      <w:r>
        <w:t xml:space="preserve"> valida o candidato com Pydantic, normaliza datas brasileiras, rejeita anos implausíveis, remove "valores" que são apenas definições de papel e impede que a retroatividade seja registrada como prazo complementar. Se falhar, o Harness pede ao A3 nova tentativa com a lista de erros (até 2 retries).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Verificação de evidência:</w:t>
      </w:r>
      <w:r>
        <w:t xml:space="preserve"> cada trecho citado pelo A3 é procurado no texto da página citada; trechos em outra página ou não localizados são sinalizados e reduzem a confiança do item na comparação.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Escopo:</w:t>
      </w:r>
      <w:r>
        <w:t xml:space="preserve"> o Harness confirma o ramo (LLM com reforço determinístico) e marca o run como "D&amp;O validado" ou "genérico".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A5 Comparação:</w:t>
      </w:r>
      <w:r>
        <w:t xml:space="preserve"> compara campos simples, limites e Sides A/B/C; pareia coberturas, exclusões e cláusulas pelo conceito da taxonomia; pede ao LLM o pareamento de itens órfãos (sempre enviados à revisão humana) e o julgamento do conteúdo dos pares (igual, diferente ou revisão humana).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A6 Síntese:</w:t>
      </w:r>
      <w:r>
        <w:t xml:space="preserve"> o LLM redige a visão geral e as principais diferenças referindo-se apenas a itens do A5 por identificador; status e páginas são anexados pelo código.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Persistência e apresentação:</w:t>
      </w:r>
      <w:r>
        <w:t xml:space="preserve"> tudo é gravado no SQLite e exibido em Resumo, Comparação, Evidências, Apólices e Auditoria, com exportação em MD, PDF, CSV e JSON.</w:t>
      </w:r>
    </w:p>
    <w:p>
      <w:pPr>
        <w:pStyle w:val="Heading1"/>
      </w:pPr>
      <w:r>
        <w:t xml:space="preserve">5. Agentes desenvolvidos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"/>
        <w:gridCol w:w="1126"/>
        <w:gridCol w:w="1502"/>
        <w:gridCol w:w="2378"/>
        <w:gridCol w:w="3756"/>
      </w:tblGrid>
      <w:tr>
        <w:trPr>
          <w:tblHeader/>
        </w:trPr>
        <w:tc>
          <w:tcPr>
            <w:tcW w:type="dxa" w:w="87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Agente</w:t>
            </w:r>
          </w:p>
        </w:tc>
        <w:tc>
          <w:tcPr>
            <w:tcW w:type="dxa" w:w="11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Entrada</w:t>
            </w:r>
          </w:p>
        </w:tc>
        <w:tc>
          <w:tcPr>
            <w:tcW w:type="dxa" w:w="150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Saída</w:t>
            </w:r>
          </w:p>
        </w:tc>
        <w:tc>
          <w:tcPr>
            <w:tcW w:type="dxa" w:w="237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Técnica</w:t>
            </w:r>
          </w:p>
        </w:tc>
        <w:tc>
          <w:tcPr>
            <w:tcW w:type="dxa" w:w="375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Principais salvaguardas</w:t>
            </w:r>
          </w:p>
        </w:tc>
      </w:tr>
      <w:tr>
        <w:trPr>
          <w:tblHeader w:val="false"/>
        </w:trPr>
        <w:tc>
          <w:tcPr>
            <w:tcW w:type="dxa" w:w="87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A1 Intake</w:t>
            </w:r>
          </w:p>
        </w:tc>
        <w:tc>
          <w:tcPr>
            <w:tcW w:type="dxa" w:w="11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Arquivo</w:t>
            </w:r>
          </w:p>
        </w:tc>
        <w:tc>
          <w:tcPr>
            <w:tcW w:type="dxa" w:w="150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Metadados</w:t>
            </w:r>
          </w:p>
        </w:tc>
        <w:tc>
          <w:tcPr>
            <w:tcW w:type="dxa" w:w="237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Regras</w:t>
            </w:r>
          </w:p>
        </w:tc>
        <w:tc>
          <w:tcPr>
            <w:tcW w:type="dxa" w:w="375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Formato, tamanho, existência</w:t>
            </w:r>
          </w:p>
        </w:tc>
      </w:tr>
      <w:tr>
        <w:trPr>
          <w:tblHeader w:val="false"/>
        </w:trPr>
        <w:tc>
          <w:tcPr>
            <w:tcW w:type="dxa" w:w="87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A2 Extraction</w:t>
            </w:r>
          </w:p>
        </w:tc>
        <w:tc>
          <w:tcPr>
            <w:tcW w:type="dxa" w:w="11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Metadados</w:t>
            </w:r>
          </w:p>
        </w:tc>
        <w:tc>
          <w:tcPr>
            <w:tcW w:type="dxa" w:w="150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Texto por página</w:t>
            </w:r>
          </w:p>
        </w:tc>
        <w:tc>
          <w:tcPr>
            <w:tcW w:type="dxa" w:w="237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PyMuPDF + OCR GPT (Tesseract opcional)</w:t>
            </w:r>
          </w:p>
        </w:tc>
        <w:tc>
          <w:tcPr>
            <w:tcW w:type="dxa" w:w="375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OCR só onde falta texto; limite de 40 páginas com aviso; transcrição literal</w:t>
            </w:r>
          </w:p>
        </w:tc>
      </w:tr>
      <w:tr>
        <w:trPr>
          <w:tblHeader w:val="false"/>
        </w:trPr>
        <w:tc>
          <w:tcPr>
            <w:tcW w:type="dxa" w:w="87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A3 Análise D&amp;O</w:t>
            </w:r>
          </w:p>
        </w:tc>
        <w:tc>
          <w:tcPr>
            <w:tcW w:type="dxa" w:w="11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Texto</w:t>
            </w:r>
          </w:p>
        </w:tc>
        <w:tc>
          <w:tcPr>
            <w:tcW w:type="dxa" w:w="150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Candidato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PolicySchema</w:t>
            </w:r>
          </w:p>
        </w:tc>
        <w:tc>
          <w:tcPr>
            <w:tcW w:type="dxa" w:w="237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LLM com Structured Outputs</w:t>
            </w:r>
          </w:p>
        </w:tc>
        <w:tc>
          <w:tcPr>
            <w:tcW w:type="dxa" w:w="375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Schema estrito; "não inventar"; página em cada evidência</w:t>
            </w:r>
          </w:p>
        </w:tc>
      </w:tr>
      <w:tr>
        <w:trPr>
          <w:tblHeader w:val="false"/>
        </w:trPr>
        <w:tc>
          <w:tcPr>
            <w:tcW w:type="dxa" w:w="87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A4 Validação</w:t>
            </w:r>
          </w:p>
        </w:tc>
        <w:tc>
          <w:tcPr>
            <w:tcW w:type="dxa" w:w="11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Candidato</w:t>
            </w:r>
          </w:p>
        </w:tc>
        <w:tc>
          <w:tcPr>
            <w:tcW w:type="dxa" w:w="150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PolicySchema</w:t>
            </w:r>
            <w:r>
              <w:rPr>
                <w:sz w:val="18"/>
                <w:szCs w:val="18"/>
              </w:rPr>
              <w:t xml:space="preserve"> válido</w:t>
            </w:r>
          </w:p>
        </w:tc>
        <w:tc>
          <w:tcPr>
            <w:tcW w:type="dxa" w:w="237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Pydantic + regras</w:t>
            </w:r>
          </w:p>
        </w:tc>
        <w:tc>
          <w:tcPr>
            <w:tcW w:type="dxa" w:w="375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Retry com feedback; datas plausíveis; papéis ≠ valores</w:t>
            </w:r>
          </w:p>
        </w:tc>
      </w:tr>
      <w:tr>
        <w:trPr>
          <w:tblHeader w:val="false"/>
        </w:trPr>
        <w:tc>
          <w:tcPr>
            <w:tcW w:type="dxa" w:w="87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A5 Comparação</w:t>
            </w:r>
          </w:p>
        </w:tc>
        <w:tc>
          <w:tcPr>
            <w:tcW w:type="dxa" w:w="11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apólices</w:t>
            </w:r>
          </w:p>
        </w:tc>
        <w:tc>
          <w:tcPr>
            <w:tcW w:type="dxa" w:w="150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ComparisonResult</w:t>
            </w:r>
          </w:p>
        </w:tc>
        <w:tc>
          <w:tcPr>
            <w:tcW w:type="dxa" w:w="237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Taxonomia + LLM juiz</w:t>
            </w:r>
          </w:p>
        </w:tc>
        <w:tc>
          <w:tcPr>
            <w:tcW w:type="dxa" w:w="375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Estados controlados; confiança mínima configurável; pares órfãos e evidência não confirmada sinalizados</w:t>
            </w:r>
          </w:p>
        </w:tc>
      </w:tr>
      <w:tr>
        <w:trPr>
          <w:tblHeader w:val="false"/>
        </w:trPr>
        <w:tc>
          <w:tcPr>
            <w:tcW w:type="dxa" w:w="87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A6 Síntese</w:t>
            </w:r>
          </w:p>
        </w:tc>
        <w:tc>
          <w:tcPr>
            <w:tcW w:type="dxa" w:w="11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ComparisonResult</w:t>
            </w:r>
          </w:p>
        </w:tc>
        <w:tc>
          <w:tcPr>
            <w:tcW w:type="dxa" w:w="150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Relatório</w:t>
            </w:r>
          </w:p>
        </w:tc>
        <w:tc>
          <w:tcPr>
            <w:tcW w:type="dxa" w:w="237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LLM redator</w:t>
            </w:r>
          </w:p>
        </w:tc>
        <w:tc>
          <w:tcPr>
            <w:tcW w:type="dxa" w:w="375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Só itens existentes; guardrail anti-veredito em 2 camadas; alternativa determinística</w:t>
            </w:r>
          </w:p>
        </w:tc>
      </w:tr>
      <w:tr>
        <w:trPr>
          <w:tblHeader w:val="false"/>
        </w:trPr>
        <w:tc>
          <w:tcPr>
            <w:tcW w:type="dxa" w:w="87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Consulta</w:t>
            </w:r>
          </w:p>
        </w:tc>
        <w:tc>
          <w:tcPr>
            <w:tcW w:type="dxa" w:w="11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Pergunta + acervo</w:t>
            </w:r>
          </w:p>
        </w:tc>
        <w:tc>
          <w:tcPr>
            <w:tcW w:type="dxa" w:w="150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Resposta citada</w:t>
            </w:r>
          </w:p>
        </w:tc>
        <w:tc>
          <w:tcPr>
            <w:tcW w:type="dxa" w:w="237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Recuperação de páginas + LLM</w:t>
            </w:r>
          </w:p>
        </w:tc>
        <w:tc>
          <w:tcPr>
            <w:tcW w:type="dxa" w:w="375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Só páginas enviadas podem ser citadas; sem veredito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6. Tecnologias utilizadas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3"/>
        <w:gridCol w:w="1642"/>
        <w:gridCol w:w="3285"/>
        <w:gridCol w:w="3288"/>
      </w:tblGrid>
      <w:tr>
        <w:trPr>
          <w:tblHeader/>
        </w:trPr>
        <w:tc>
          <w:tcPr>
            <w:tcW w:type="dxa" w:w="142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Tecnologia</w:t>
            </w:r>
          </w:p>
        </w:tc>
        <w:tc>
          <w:tcPr>
            <w:tcW w:type="dxa" w:w="164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Versão testada</w:t>
            </w:r>
          </w:p>
        </w:tc>
        <w:tc>
          <w:tcPr>
            <w:tcW w:type="dxa" w:w="328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Papel na solução</w:t>
            </w:r>
          </w:p>
        </w:tc>
        <w:tc>
          <w:tcPr>
            <w:tcW w:type="dxa" w:w="328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Por que foi escolhida</w:t>
            </w:r>
          </w:p>
        </w:tc>
      </w:tr>
      <w:tr>
        <w:trPr>
          <w:tblHeader w:val="false"/>
        </w:trPr>
        <w:tc>
          <w:tcPr>
            <w:tcW w:type="dxa" w:w="142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Python</w:t>
            </w:r>
          </w:p>
        </w:tc>
        <w:tc>
          <w:tcPr>
            <w:tcW w:type="dxa" w:w="164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3.13 (requer 3.10+)</w:t>
            </w:r>
          </w:p>
        </w:tc>
        <w:tc>
          <w:tcPr>
            <w:tcW w:type="dxa" w:w="328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Linguagem de toda a solução</w:t>
            </w:r>
          </w:p>
        </w:tc>
        <w:tc>
          <w:tcPr>
            <w:tcW w:type="dxa" w:w="328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Ecossistema de IA e de documentos; usado ao longo do curso</w:t>
            </w:r>
          </w:p>
        </w:tc>
      </w:tr>
      <w:tr>
        <w:trPr>
          <w:tblHeader w:val="false"/>
        </w:trPr>
        <w:tc>
          <w:tcPr>
            <w:tcW w:type="dxa" w:w="142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OpenAI API — Responses API</w:t>
            </w:r>
          </w:p>
        </w:tc>
        <w:tc>
          <w:tcPr>
            <w:tcW w:type="dxa" w:w="164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SDK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openai</w:t>
            </w:r>
            <w:r>
              <w:rPr>
                <w:sz w:val="18"/>
                <w:szCs w:val="18"/>
              </w:rPr>
              <w:t xml:space="preserve"> 2.54</w:t>
            </w:r>
          </w:p>
        </w:tc>
        <w:tc>
          <w:tcPr>
            <w:tcW w:type="dxa" w:w="328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OCR, extração, juiz semântico, síntese e consulta</w:t>
            </w:r>
          </w:p>
        </w:tc>
        <w:tc>
          <w:tcPr>
            <w:tcW w:type="dxa" w:w="328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Structured Outputs com JSON Schema estrito e entrada de imagem na mesma API e credencial</w:t>
            </w:r>
          </w:p>
        </w:tc>
      </w:tr>
      <w:tr>
        <w:trPr>
          <w:tblHeader w:val="false"/>
        </w:trPr>
        <w:tc>
          <w:tcPr>
            <w:tcW w:type="dxa" w:w="142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Modelo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gpt-5.6-luna</w:t>
            </w:r>
          </w:p>
        </w:tc>
        <w:tc>
          <w:tcPr>
            <w:tcW w:type="dxa" w:w="164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configurável em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OPENAI_MODEL</w:t>
            </w:r>
          </w:p>
        </w:tc>
        <w:tc>
          <w:tcPr>
            <w:tcW w:type="dxa" w:w="328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Modelo usado nos resultados deste relatório</w:t>
            </w:r>
          </w:p>
        </w:tc>
        <w:tc>
          <w:tcPr>
            <w:tcW w:type="dxa" w:w="328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Suporte a schema estrito e visão; troca por configuração, sem mudar código</w:t>
            </w:r>
          </w:p>
        </w:tc>
      </w:tr>
      <w:tr>
        <w:trPr>
          <w:tblHeader w:val="false"/>
        </w:trPr>
        <w:tc>
          <w:tcPr>
            <w:tcW w:type="dxa" w:w="142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Pydantic</w:t>
            </w:r>
          </w:p>
        </w:tc>
        <w:tc>
          <w:tcPr>
            <w:tcW w:type="dxa" w:w="164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2.13</w:t>
            </w:r>
          </w:p>
        </w:tc>
        <w:tc>
          <w:tcPr>
            <w:tcW w:type="dxa" w:w="328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Contratos 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PolicySchema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ComparisonResult</w:t>
            </w:r>
            <w:r>
              <w:rPr>
                <w:sz w:val="18"/>
                <w:szCs w:val="18"/>
              </w:rPr>
              <w:t xml:space="preserve">, estado) e validação do A4</w:t>
            </w:r>
          </w:p>
        </w:tc>
        <w:tc>
          <w:tcPr>
            <w:tcW w:type="dxa" w:w="328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Validação declarativa, mensagens de erro usadas como feedback no retry, geração do JSON Schema</w:t>
            </w:r>
          </w:p>
        </w:tc>
      </w:tr>
      <w:tr>
        <w:trPr>
          <w:tblHeader w:val="false"/>
        </w:trPr>
        <w:tc>
          <w:tcPr>
            <w:tcW w:type="dxa" w:w="142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PyMuPDF</w:t>
            </w:r>
          </w:p>
        </w:tc>
        <w:tc>
          <w:tcPr>
            <w:tcW w:type="dxa" w:w="164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1.28</w:t>
            </w:r>
          </w:p>
        </w:tc>
        <w:tc>
          <w:tcPr>
            <w:tcW w:type="dxa" w:w="328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Texto por página, detecção de páginas digitalizadas, renderização para OCR, PDF da síntese e do relatório</w:t>
            </w:r>
          </w:p>
        </w:tc>
        <w:tc>
          <w:tcPr>
            <w:tcW w:type="dxa" w:w="328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Rápido, sem dependências de sistema, lê e escreve PDF</w:t>
            </w:r>
          </w:p>
        </w:tc>
      </w:tr>
      <w:tr>
        <w:trPr>
          <w:tblHeader w:val="false"/>
        </w:trPr>
        <w:tc>
          <w:tcPr>
            <w:tcW w:type="dxa" w:w="142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Streamlit</w:t>
            </w:r>
          </w:p>
        </w:tc>
        <w:tc>
          <w:tcPr>
            <w:tcW w:type="dxa" w:w="164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1.64</w:t>
            </w:r>
          </w:p>
        </w:tc>
        <w:tc>
          <w:tcPr>
            <w:tcW w:type="dxa" w:w="328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Interface: upload, progresso, abas, downloads, consulta</w:t>
            </w:r>
          </w:p>
        </w:tc>
        <w:tc>
          <w:tcPr>
            <w:tcW w:type="dxa" w:w="328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Protótipo funcional em Python puro, adequado a um MVP demonstrável</w:t>
            </w:r>
          </w:p>
        </w:tc>
      </w:tr>
      <w:tr>
        <w:trPr>
          <w:tblHeader w:val="false"/>
        </w:trPr>
        <w:tc>
          <w:tcPr>
            <w:tcW w:type="dxa" w:w="142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SQLite</w:t>
            </w:r>
          </w:p>
        </w:tc>
        <w:tc>
          <w:tcPr>
            <w:tcW w:type="dxa" w:w="164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3.50 (embutido no Python)</w:t>
            </w:r>
          </w:p>
        </w:tc>
        <w:tc>
          <w:tcPr>
            <w:tcW w:type="dxa" w:w="328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Armazenamento estruturado e base da Consulta</w:t>
            </w:r>
          </w:p>
        </w:tc>
        <w:tc>
          <w:tcPr>
            <w:tcW w:type="dxa" w:w="328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Sem servidor, arquivo único, suficiente para o volume do MVP</w:t>
            </w:r>
          </w:p>
        </w:tc>
      </w:tr>
      <w:tr>
        <w:trPr>
          <w:tblHeader w:val="false"/>
        </w:trPr>
        <w:tc>
          <w:tcPr>
            <w:tcW w:type="dxa" w:w="142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pandas</w:t>
            </w:r>
          </w:p>
        </w:tc>
        <w:tc>
          <w:tcPr>
            <w:tcW w:type="dxa" w:w="164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2.3</w:t>
            </w:r>
          </w:p>
        </w:tc>
        <w:tc>
          <w:tcPr>
            <w:tcW w:type="dxa" w:w="328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Tabelas da interface e exportação CSV</w:t>
            </w:r>
          </w:p>
        </w:tc>
        <w:tc>
          <w:tcPr>
            <w:tcW w:type="dxa" w:w="328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Integração nativa com o Streamlit</w:t>
            </w:r>
          </w:p>
        </w:tc>
      </w:tr>
      <w:tr>
        <w:trPr>
          <w:tblHeader w:val="false"/>
        </w:trPr>
        <w:tc>
          <w:tcPr>
            <w:tcW w:type="dxa" w:w="142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Markdown</w:t>
            </w:r>
          </w:p>
        </w:tc>
        <w:tc>
          <w:tcPr>
            <w:tcW w:type="dxa" w:w="164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3.11</w:t>
            </w:r>
          </w:p>
        </w:tc>
        <w:tc>
          <w:tcPr>
            <w:tcW w:type="dxa" w:w="328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Conversão da síntese e do relatório para PDF</w:t>
            </w:r>
          </w:p>
        </w:tc>
        <w:tc>
          <w:tcPr>
            <w:tcW w:type="dxa" w:w="328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Leve; a síntese já é produzida em Markdown</w:t>
            </w:r>
          </w:p>
        </w:tc>
      </w:tr>
      <w:tr>
        <w:trPr>
          <w:tblHeader w:val="false"/>
        </w:trPr>
        <w:tc>
          <w:tcPr>
            <w:tcW w:type="dxa" w:w="142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python-dotenv</w:t>
            </w:r>
          </w:p>
        </w:tc>
        <w:tc>
          <w:tcPr>
            <w:tcW w:type="dxa" w:w="164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1.2</w:t>
            </w:r>
          </w:p>
        </w:tc>
        <w:tc>
          <w:tcPr>
            <w:tcW w:type="dxa" w:w="328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Leitura da chave e das configurações do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.env</w:t>
            </w:r>
          </w:p>
        </w:tc>
        <w:tc>
          <w:tcPr>
            <w:tcW w:type="dxa" w:w="328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Mantém credenciais fora do código</w:t>
            </w:r>
          </w:p>
        </w:tc>
      </w:tr>
      <w:tr>
        <w:trPr>
          <w:tblHeader w:val="false"/>
        </w:trPr>
        <w:tc>
          <w:tcPr>
            <w:tcW w:type="dxa" w:w="142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pytest</w:t>
            </w:r>
          </w:p>
        </w:tc>
        <w:tc>
          <w:tcPr>
            <w:tcW w:type="dxa" w:w="164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9.1</w:t>
            </w:r>
          </w:p>
        </w:tc>
        <w:tc>
          <w:tcPr>
            <w:tcW w:type="dxa" w:w="328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145 testes automatizados sem chamadas de API</w:t>
            </w:r>
          </w:p>
        </w:tc>
        <w:tc>
          <w:tcPr>
            <w:tcW w:type="dxa" w:w="328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Padrão de mercado; permite testar agentes com dublês</w:t>
            </w:r>
          </w:p>
        </w:tc>
      </w:tr>
      <w:tr>
        <w:trPr>
          <w:tblHeader w:val="false"/>
        </w:trPr>
        <w:tc>
          <w:tcPr>
            <w:tcW w:type="dxa" w:w="142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Tesseract (opcional)</w:t>
            </w:r>
          </w:p>
        </w:tc>
        <w:tc>
          <w:tcPr>
            <w:tcW w:type="dxa" w:w="164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8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OCR offline, usado apenas se estiver instalado</w:t>
            </w:r>
          </w:p>
        </w:tc>
        <w:tc>
          <w:tcPr>
            <w:tcW w:type="dxa" w:w="328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Alternativa sem internet para o modo DEMO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7. Justificativa das decisões arquiteturais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Harness no controle, agentes especializados.</w:t>
      </w:r>
      <w:r>
        <w:t xml:space="preserve"> Separar coordenação de execução permite testar cada agente isoladamente, repetir etapas com segurança e registrar um trace completo, em vez de depender de agentes que decidem a própria sequência.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Structured Outputs com schema estrito, validação local no A4.</w:t>
      </w:r>
      <w:r>
        <w:t xml:space="preserve"> O schema estrito força o formato no provedor; o A4 continua sendo a autoridade de validação, o que permite retries com feedback. No primeiro teste LIVE, sem schema estrito, o modelo devolveu 22 erros de estrutura e o run falhou; com a mudança, os runs passaram a ser aceitos na primeira tentativa, e as poucas rejeições (ex.: "5% do LMI" num campo numérico) foram corrigidas na segunda.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Marcadores de página no texto.</w:t>
      </w:r>
      <w:r>
        <w:t xml:space="preserve"> São a base do Claim → Evidence: o LLM cita a página que viu, e a interface a exibe ao lado de cada diferença.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Taxonomia D&amp;O + juiz semântico.</w:t>
      </w:r>
      <w:r>
        <w:t xml:space="preserve"> Comparar pelo nome devolvido pelo LLM falhava entre seguradoras (a Chubb veio em inglês, a Sompo em português): a acurácia da comparação era 0,50. Pareando por conceito e deixando o LLM julgar apenas o conteúdo dos pares, chegou a 0,80.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Síntese generativa limitada por identificadores.</w:t>
      </w:r>
      <w:r>
        <w:t xml:space="preserve"> A primeira síntese determinística tinha 87 mil caracteres. A versão generativa tem cerca de 5 mil, mas o modelo só pode referir itens existentes, e páginas e status são anexados pelo código.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OCR com GPT em vez de Tesseract.</w:t>
      </w:r>
      <w:r>
        <w:t xml:space="preserve"> Não exige instalação no sistema, lida melhor com tabelas e usa a mesma credencial; o Tesseract permanece como alternativa offline opcional.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Escopo D&amp;O com análise genérica sinalizada.</w:t>
      </w:r>
      <w:r>
        <w:t xml:space="preserve"> O enunciado foca D&amp;O; documentos de outros ramos são analisados com os campos gerais e marcados como fora do escopo validado, em vez de serem tratados silenciosamente como D&amp;O.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Verificação determinística de evidência.</w:t>
      </w:r>
      <w:r>
        <w:t xml:space="preserve"> O trecho citado é escrito pelo LLM; conferi-lo no texto da página custa milissegundos e transforma Claim → Evidence de promessa em garantia verificável.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Guardrail anti-veredito em duas camadas.</w:t>
      </w:r>
      <w:r>
        <w:t xml:space="preserve"> A lista de 9 palavras da v1.2 deixava passar "Recomenda-se contratar A". Padrões ampliados (sem bloquear comparações factuais) + classificador LLM barato cobrem paráfrases; uma suíte adversarial fixa o comportamento.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SQLite e Streamlit.</w:t>
      </w:r>
      <w:r>
        <w:t xml:space="preserve"> Simples de instalar e suficientes para um MVP demonstrável, conforme a orientação de preferir soluções simples e compreensíveis.</w:t>
      </w:r>
    </w:p>
    <w:p>
      <w:pPr>
        <w:pStyle w:val="Heading1"/>
      </w:pPr>
      <w:r>
        <w:t xml:space="preserve">8. Avaliação e resultados</w:t>
      </w:r>
    </w:p>
    <w:p>
      <w:pPr>
        <w:pStyle w:val="Heading2"/>
      </w:pPr>
      <w:r>
        <w:t xml:space="preserve">8.1 Dataset 1 — Golden D&amp;O (Chubb × Sompo)</w:t>
      </w:r>
    </w:p>
    <w:p>
      <w:pPr>
        <w:spacing w:after="120"/>
      </w:pPr>
      <w:r>
        <w:t xml:space="preserve">Dois documentos oficiais de condições gerais D&amp;O (70 e 49 páginas) com anotação humana de campos, páginas e trechos, e uma comparação esperada de 10 itens. Os números abaixo são a </w:t>
      </w:r>
      <w:r>
        <w:rPr>
          <w:b/>
          <w:bCs/>
        </w:rPr>
        <w:t xml:space="preserve">média e o pior caso de três execuções LIVE</w:t>
      </w:r>
      <w:r>
        <w:t xml:space="preserve"> com o A5 atual, reavaliadas offline (</w:t>
      </w:r>
      <w:r>
        <w:rPr>
          <w:rFonts w:ascii="Courier New" w:cs="Courier New" w:eastAsia="Courier New" w:hAnsi="Courier New"/>
          <w:sz w:val="18"/>
          <w:szCs w:val="18"/>
        </w:rPr>
        <w:t xml:space="preserve">evaluation/aggregate_runs.py</w:t>
      </w:r>
      <w:r>
        <w:t xml:space="preserve">), e não a melhor execução.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68"/>
        <w:gridCol w:w="1308"/>
        <w:gridCol w:w="1308"/>
        <w:gridCol w:w="954"/>
      </w:tblGrid>
      <w:tr>
        <w:trPr>
          <w:tblHeader/>
        </w:trPr>
        <w:tc>
          <w:tcPr>
            <w:tcW w:type="dxa" w:w="606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Métrica</w:t>
            </w:r>
          </w:p>
        </w:tc>
        <w:tc>
          <w:tcPr>
            <w:tcW w:type="dxa" w:w="130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Chubb</w:t>
            </w:r>
          </w:p>
        </w:tc>
        <w:tc>
          <w:tcPr>
            <w:tcW w:type="dxa" w:w="130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Sompo</w:t>
            </w:r>
          </w:p>
        </w:tc>
        <w:tc>
          <w:tcPr>
            <w:tcW w:type="dxa" w:w="95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</w:tr>
      <w:tr>
        <w:trPr>
          <w:tblHeader w:val="false"/>
        </w:trPr>
        <w:tc>
          <w:tcPr>
            <w:tcW w:type="dxa" w:w="606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EVAL-01 Validade do schema</w:t>
            </w:r>
          </w:p>
        </w:tc>
        <w:tc>
          <w:tcPr>
            <w:tcW w:type="dxa" w:w="130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1,00</w:t>
            </w:r>
          </w:p>
        </w:tc>
        <w:tc>
          <w:tcPr>
            <w:tcW w:type="dxa" w:w="130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1,00</w:t>
            </w:r>
          </w:p>
        </w:tc>
        <w:tc>
          <w:tcPr>
            <w:tcW w:type="dxa" w:w="95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606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EVAL-02 Campos anotados (média / pior)</w:t>
            </w:r>
          </w:p>
        </w:tc>
        <w:tc>
          <w:tcPr>
            <w:tcW w:type="dxa" w:w="130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0,97 / 0,92</w:t>
            </w:r>
          </w:p>
        </w:tc>
        <w:tc>
          <w:tcPr>
            <w:tcW w:type="dxa" w:w="130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1,00 / 1,00</w:t>
            </w:r>
          </w:p>
        </w:tc>
        <w:tc>
          <w:tcPr>
            <w:tcW w:type="dxa" w:w="95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≥ 0,80</w:t>
            </w:r>
          </w:p>
        </w:tc>
      </w:tr>
      <w:tr>
        <w:trPr>
          <w:tblHeader w:val="false"/>
        </w:trPr>
        <w:tc>
          <w:tcPr>
            <w:tcW w:type="dxa" w:w="606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EVAL-02 baseline: extrator que só devolve nulos</w:t>
            </w:r>
          </w:p>
        </w:tc>
        <w:tc>
          <w:tcPr>
            <w:tcW w:type="dxa" w:w="130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0,50</w:t>
            </w:r>
          </w:p>
        </w:tc>
        <w:tc>
          <w:tcPr>
            <w:tcW w:type="dxa" w:w="130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0,55</w:t>
            </w:r>
          </w:p>
        </w:tc>
        <w:tc>
          <w:tcPr>
            <w:tcW w:type="dxa" w:w="95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606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EVAL-02 só campos com valor esperado</w:t>
            </w:r>
          </w:p>
        </w:tc>
        <w:tc>
          <w:tcPr>
            <w:tcW w:type="dxa" w:w="130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1,00</w:t>
            </w:r>
          </w:p>
        </w:tc>
        <w:tc>
          <w:tcPr>
            <w:tcW w:type="dxa" w:w="130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1,00</w:t>
            </w:r>
          </w:p>
        </w:tc>
        <w:tc>
          <w:tcPr>
            <w:tcW w:type="dxa" w:w="95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606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EVAL-03 Página da evidência</w:t>
            </w:r>
          </w:p>
        </w:tc>
        <w:tc>
          <w:tcPr>
            <w:tcW w:type="dxa" w:w="130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1,00</w:t>
            </w:r>
          </w:p>
        </w:tc>
        <w:tc>
          <w:tcPr>
            <w:tcW w:type="dxa" w:w="130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1,00</w:t>
            </w:r>
          </w:p>
        </w:tc>
        <w:tc>
          <w:tcPr>
            <w:tcW w:type="dxa" w:w="95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≥ 0,80</w:t>
            </w:r>
          </w:p>
        </w:tc>
      </w:tr>
      <w:tr>
        <w:trPr>
          <w:tblHeader w:val="false"/>
        </w:trPr>
        <w:tc>
          <w:tcPr>
            <w:tcW w:type="dxa" w:w="606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Trechos conferidos na página (todas as referências)</w:t>
            </w:r>
          </w:p>
        </w:tc>
        <w:tc>
          <w:tcPr>
            <w:tcW w:type="dxa" w:w="130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0,99–1,00</w:t>
            </w:r>
          </w:p>
        </w:tc>
        <w:tc>
          <w:tcPr>
            <w:tcW w:type="dxa" w:w="130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0,98–1,00</w:t>
            </w:r>
          </w:p>
        </w:tc>
        <w:tc>
          <w:tcPr>
            <w:tcW w:type="dxa" w:w="95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51"/>
        <w:gridCol w:w="1243"/>
        <w:gridCol w:w="1399"/>
        <w:gridCol w:w="1245"/>
      </w:tblGrid>
      <w:tr>
        <w:trPr>
          <w:tblHeader/>
        </w:trPr>
        <w:tc>
          <w:tcPr>
            <w:tcW w:type="dxa" w:w="575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Comparação (EVAL-04)</w:t>
            </w:r>
          </w:p>
        </w:tc>
        <w:tc>
          <w:tcPr>
            <w:tcW w:type="dxa" w:w="124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Média</w:t>
            </w:r>
          </w:p>
        </w:tc>
        <w:tc>
          <w:tcPr>
            <w:tcW w:type="dxa" w:w="139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Pior caso</w:t>
            </w:r>
          </w:p>
        </w:tc>
        <w:tc>
          <w:tcPr>
            <w:tcW w:type="dxa" w:w="124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</w:tr>
      <w:tr>
        <w:trPr>
          <w:tblHeader w:val="false"/>
        </w:trPr>
        <w:tc>
          <w:tcPr>
            <w:tcW w:type="dxa" w:w="575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Gabarito v1.0, 10 itens</w:t>
            </w:r>
          </w:p>
        </w:tc>
        <w:tc>
          <w:tcPr>
            <w:tcW w:type="dxa" w:w="124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0,77</w:t>
            </w:r>
          </w:p>
        </w:tc>
        <w:tc>
          <w:tcPr>
            <w:tcW w:type="dxa" w:w="139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0,70</w:t>
            </w:r>
          </w:p>
        </w:tc>
        <w:tc>
          <w:tcPr>
            <w:tcW w:type="dxa" w:w="124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≥ 0,90</w:t>
            </w:r>
          </w:p>
        </w:tc>
      </w:tr>
      <w:tr>
        <w:trPr>
          <w:tblHeader w:val="false"/>
        </w:trPr>
        <w:tc>
          <w:tcPr>
            <w:tcW w:type="dxa" w:w="575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Gabarito v1.0, 5 itens discriminantes</w:t>
            </w:r>
          </w:p>
        </w:tc>
        <w:tc>
          <w:tcPr>
            <w:tcW w:type="dxa" w:w="124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0,53</w:t>
            </w:r>
          </w:p>
        </w:tc>
        <w:tc>
          <w:tcPr>
            <w:tcW w:type="dxa" w:w="139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0,40</w:t>
            </w:r>
          </w:p>
        </w:tc>
        <w:tc>
          <w:tcPr>
            <w:tcW w:type="dxa" w:w="124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75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Gabarito v1.1, 10 itens</w:t>
            </w:r>
          </w:p>
        </w:tc>
        <w:tc>
          <w:tcPr>
            <w:tcW w:type="dxa" w:w="1243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0,97</w:t>
            </w:r>
          </w:p>
        </w:tc>
        <w:tc>
          <w:tcPr>
            <w:tcW w:type="dxa" w:w="139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0,90</w:t>
            </w:r>
          </w:p>
        </w:tc>
        <w:tc>
          <w:tcPr>
            <w:tcW w:type="dxa" w:w="124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≥ 0,90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Metade dos campos do EVAL-02 e metade dos itens do EVAL-04 esperam "não identificado": medem o guardrail de não inventar, não a capacidade de extrair ou comparar. Por isso os subescores discriminantes são reportados em separado.</w:t>
      </w:r>
    </w:p>
    <w:p>
      <w:pPr>
        <w:spacing w:after="120"/>
      </w:pPr>
      <w:r>
        <w:t xml:space="preserve">A revisão v1.1 alterou os dois itens em que o sistema divergia (exclusões ambiental e cibernética), após verificação no texto-fonte: a exclusão ambiental da Chubb tem recompra por cobertura adicional (p. 42 e 51–55), ausente na Sompo, e a cibernética da Chubb limita-se à perda de dados (p. 65), enquanto a da Sompo abrange ataques e malware (p. 17). Como a revisão foi feita depois de ver a saída, a v1.0 permanece a referência principal.</w:t>
      </w:r>
    </w:p>
    <w:p>
      <w:pPr>
        <w:spacing w:after="120"/>
      </w:pPr>
      <w:r>
        <w:rPr>
          <w:b/>
          <w:bCs/>
        </w:rPr>
        <w:t xml:space="preserve">Calibração do juiz semântico.</w:t>
      </w:r>
      <w:r>
        <w:t xml:space="preserve"> Nos 79 itens julgados, a confiança mínima foi 0,78 e a mediana 0,98; o corte de 0,7 nunca disparou. Os 15 itens com gabarito tinham confiança ≥ 0,95 e acerto de 0,53 (v1.0): a confiança autodeclarada não separa acertos de erros. Pares formados fora da taxonomia passaram a exigir revisão humana, e a calibração real depende de ampliar o gabarito (protocolo em </w:t>
      </w:r>
      <w:r>
        <w:rPr>
          <w:rFonts w:ascii="Courier New" w:cs="Courier New" w:eastAsia="Courier New" w:hAnsi="Courier New"/>
          <w:sz w:val="18"/>
          <w:szCs w:val="18"/>
        </w:rPr>
        <w:t xml:space="preserve">evaluation/golden_dataset/ANNOTATION_PROTOCOL.md</w:t>
      </w:r>
      <w:r>
        <w:t xml:space="preserve">).</w:t>
      </w:r>
    </w:p>
    <w:p>
      <w:pPr>
        <w:spacing w:after="120"/>
      </w:pPr>
      <w:r>
        <w:rPr>
          <w:b/>
          <w:bCs/>
        </w:rPr>
        <w:t xml:space="preserve">Erro encontrado fora do gabarito.</w:t>
      </w:r>
      <w:r>
        <w:t xml:space="preserve"> No run de referência, a Sompo teve a regra de retroatividade gravada como prazo complementar, e o A5 a comparou com o prazo complementar da Chubb, gerando uma "diferença" na síntese. O A4 da v1.3 corrige esse caso (teste em </w:t>
      </w:r>
      <w:r>
        <w:rPr>
          <w:rFonts w:ascii="Courier New" w:cs="Courier New" w:eastAsia="Courier New" w:hAnsi="Courier New"/>
          <w:sz w:val="18"/>
          <w:szCs w:val="18"/>
        </w:rPr>
        <w:t xml:space="preserve">tests/test_v13_improvements.py</w:t>
      </w:r>
      <w:r>
        <w:t xml:space="preserve">); a medição LIVE das correções da v1.3 está pendente.</w:t>
      </w:r>
    </w:p>
    <w:p>
      <w:pPr>
        <w:pStyle w:val="Heading2"/>
      </w:pPr>
      <w:r>
        <w:t xml:space="preserve">8.2 Dataset 3 — Robustez e OCR (execuções LIVE)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52"/>
        <w:gridCol w:w="1410"/>
        <w:gridCol w:w="1176"/>
      </w:tblGrid>
      <w:tr>
        <w:trPr>
          <w:tblHeader/>
        </w:trPr>
        <w:tc>
          <w:tcPr>
            <w:tcW w:type="dxa" w:w="70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Cenário</w:t>
            </w:r>
          </w:p>
        </w:tc>
        <w:tc>
          <w:tcPr>
            <w:tcW w:type="dxa" w:w="141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Verificações</w:t>
            </w:r>
          </w:p>
        </w:tc>
        <w:tc>
          <w:tcPr>
            <w:tcW w:type="dxa" w:w="117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Tempo</w:t>
            </w:r>
          </w:p>
        </w:tc>
      </w:tr>
      <w:tr>
        <w:trPr>
          <w:tblHeader w:val="false"/>
        </w:trPr>
        <w:tc>
          <w:tcPr>
            <w:tcW w:type="dxa" w:w="70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Empresarial PME (254 páginas) × Residencial — limite de tamanho e ramos diferentes</w:t>
            </w:r>
          </w:p>
        </w:tc>
        <w:tc>
          <w:tcPr>
            <w:tcW w:type="dxa" w:w="141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8/8</w:t>
            </w:r>
          </w:p>
        </w:tc>
        <w:tc>
          <w:tcPr>
            <w:tcW w:type="dxa" w:w="117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 min 05 s</w:t>
            </w:r>
          </w:p>
        </w:tc>
      </w:tr>
      <w:tr>
        <w:trPr>
          <w:tblHeader w:val="false"/>
        </w:trPr>
        <w:tc>
          <w:tcPr>
            <w:tcW w:type="dxa" w:w="70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Residencial × apólice sintética — limites e franquias em R$ contra gabarito</w:t>
            </w:r>
          </w:p>
        </w:tc>
        <w:tc>
          <w:tcPr>
            <w:tcW w:type="dxa" w:w="141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19/19</w:t>
            </w:r>
          </w:p>
        </w:tc>
        <w:tc>
          <w:tcPr>
            <w:tcW w:type="dxa" w:w="117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min 17 s</w:t>
            </w:r>
          </w:p>
        </w:tc>
      </w:tr>
      <w:tr>
        <w:trPr>
          <w:tblHeader w:val="false"/>
        </w:trPr>
        <w:tc>
          <w:tcPr>
            <w:tcW w:type="dxa" w:w="70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Seguro Garantia × Vida — controle negativo de escopo</w:t>
            </w:r>
          </w:p>
        </w:tc>
        <w:tc>
          <w:tcPr>
            <w:tcW w:type="dxa" w:w="141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7/7</w:t>
            </w:r>
          </w:p>
        </w:tc>
        <w:tc>
          <w:tcPr>
            <w:tcW w:type="dxa" w:w="117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min 43 s</w:t>
            </w:r>
          </w:p>
        </w:tc>
      </w:tr>
      <w:tr>
        <w:trPr>
          <w:tblHeader w:val="false"/>
        </w:trPr>
        <w:tc>
          <w:tcPr>
            <w:tcW w:type="dxa" w:w="70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PDF só imagem × PDF nativo da mesma apólice — OCR</w:t>
            </w:r>
          </w:p>
        </w:tc>
        <w:tc>
          <w:tcPr>
            <w:tcW w:type="dxa" w:w="141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33/33</w:t>
            </w:r>
          </w:p>
        </w:tc>
        <w:tc>
          <w:tcPr>
            <w:tcW w:type="dxa" w:w="117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min 40 s</w:t>
            </w:r>
          </w:p>
        </w:tc>
      </w:tr>
      <w:tr>
        <w:trPr>
          <w:tblHeader w:val="false"/>
        </w:trPr>
        <w:tc>
          <w:tcPr>
            <w:tcW w:type="dxa" w:w="705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Imagem PNG × PDF nativo — OCR de imagem</w:t>
            </w:r>
          </w:p>
        </w:tc>
        <w:tc>
          <w:tcPr>
            <w:tcW w:type="dxa" w:w="141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aprovado</w:t>
            </w:r>
          </w:p>
        </w:tc>
        <w:tc>
          <w:tcPr>
            <w:tcW w:type="dxa" w:w="117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57 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8.3 Dataset 2 — Estudo de caso de evolução temporal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PRODEMGE 2020 (contrato digitalizado, Ezze) × 2025 (Austral):</w:t>
      </w:r>
      <w:r>
        <w:t xml:space="preserve"> o OCR leu as 15 páginas em 1 min 28 s. O sistema identificou a troca de seguradora, o aumento do limite de R$ 30 mi para R$ 40 mi e o valor contratado (R$ 74 mil para R$ 35 mil), conferidos nos documentos.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Invepar DFP 2024 × ITR 2025 (demonstrações financeiras):</w:t>
      </w:r>
      <w:r>
        <w:t xml:space="preserve"> a síntese captou a mudança de seguradora do D&amp;O (Allianz na tabela de 2024, Berkley em 2025), com páginas. O caso expôs limitações descritas na seção 9: unidade em milhares, várias apólices num mesmo documento e uma nota de rodapé que contradiz a tabela na própria DFP.</w:t>
      </w:r>
    </w:p>
    <w:p>
      <w:pPr>
        <w:pStyle w:val="Heading2"/>
      </w:pPr>
      <w:r>
        <w:t xml:space="preserve">8.4 Testes automatizados</w:t>
      </w:r>
    </w:p>
    <w:p>
      <w:pPr>
        <w:spacing w:after="120"/>
      </w:pPr>
      <w:r>
        <w:t xml:space="preserve">145 testes cobrem agentes, Harness (incluindo execução paralela e validade de todas as transições de estado), retries, guardrails (suíte adversarial anti-veredito, prompt injection, LGPD), verificação de evidência, taxonomia, OCR (com motor simulado), extração seccionada, exportação, consulta e avaliação, sem chamadas de API. A instalação limpa a partir do </w:t>
      </w:r>
      <w:r>
        <w:rPr>
          <w:rFonts w:ascii="Courier New" w:cs="Courier New" w:eastAsia="Courier New" w:hAnsi="Courier New"/>
          <w:sz w:val="18"/>
          <w:szCs w:val="18"/>
        </w:rPr>
        <w:t xml:space="preserve">requirements.txt</w:t>
      </w:r>
      <w:r>
        <w:t xml:space="preserve"> foi verificada.</w:t>
      </w:r>
    </w:p>
    <w:p>
      <w:pPr>
        <w:pStyle w:val="Heading1"/>
      </w:pPr>
      <w:r>
        <w:t xml:space="preserve">9. Limitações conhecidas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Amostra de avaliação pequena:</w:t>
      </w:r>
      <w:r>
        <w:t xml:space="preserve"> 2 documentos anotados e 10 itens de comparação (5 discriminantes), contra cerca de 100 itens produzidos por execução. A revisão v1.1 do gabarito foi motivada por divergências apontadas pelo próprio sistema; por isso v1.0 é a referência e v1.1 é reportada ao lado.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Meta de comparação não atingida:</w:t>
      </w:r>
      <w:r>
        <w:t xml:space="preserve"> EVAL-04 v1.0 = 0,77 em média (meta 0,90).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Correções da v1.3 ainda não medidas em LIVE:</w:t>
      </w:r>
      <w:r>
        <w:t xml:space="preserve"> os números da seção 8 vêm de execuções da v1.2.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Variação entre execuções:</w:t>
      </w:r>
      <w:r>
        <w:t xml:space="preserve"> o LLM não é determinístico; a quantidade e a granularidade dos itens extraídos variam entre runs, o que afeta a contagem de itens exclusivos.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Condições gerais × apólice emitida:</w:t>
      </w:r>
      <w:r>
        <w:t xml:space="preserve"> o Golden Dataset não tem valores individualizados; limites e franquias em R$ foram verificados na apólice sintética e nos contratos do estudo de caso.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Um documento, uma apólice:</w:t>
      </w:r>
      <w:r>
        <w:t xml:space="preserve"> o schema representa uma apólice por documento. Demonstrações financeiras que listam várias apólices geram campos inconsistentes entre documentos.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Unidades:</w:t>
      </w:r>
      <w:r>
        <w:t xml:space="preserve"> valores em "R$ mil" são reconhecidos em aviso, mas não convertidos automaticamente.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Datas deduzidas:</w:t>
      </w:r>
      <w:r>
        <w:t xml:space="preserve"> quando o documento diz apenas "12 meses a partir da assinatura", o modelo pode calcular a vigência a partir da assinatura eletrônica; isso é sinalizado em aviso.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Normalização de texto:</w:t>
      </w:r>
      <w:r>
        <w:t xml:space="preserve"> diferenças de pontuação (hífen × travessão) podem marcar como "diferente" um mesmo nome.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Limites de tamanho:</w:t>
      </w:r>
      <w:r>
        <w:t xml:space="preserve"> acima de 300 mil caracteres, páginas de menor densidade contratual são omitidas (com aviso); o OCR lê até 40 páginas por documento.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OCR generativo:</w:t>
      </w:r>
      <w:r>
        <w:t xml:space="preserve"> pode repetir ou, em tese, completar trechos; a transcrição é instruída a ser literal e o método fica registrado no trace.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Modo DEMO:</w:t>
      </w:r>
      <w:r>
        <w:t xml:space="preserve"> o extrator heurístico serve apenas para demonstração offline.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Privacidade:</w:t>
      </w:r>
      <w:r>
        <w:t xml:space="preserve"> no modo LIVE, os documentos são enviados à API da OpenAI; CPF, e-mail e telefone são mascarados, mas imagens enviadas ao OCR não. O SQLite local não é criptografado.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Confiança do juiz não calibrada:</w:t>
      </w:r>
      <w:r>
        <w:t xml:space="preserve"> ver seção 8.1.</w:t>
      </w:r>
    </w:p>
    <w:p>
      <w:pPr>
        <w:pStyle w:val="Heading1"/>
      </w:pPr>
      <w:r>
        <w:t xml:space="preserve">10. Possibilidades de evolução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Anotar o gabarito v2.0 (37 itens, anotação cega) e ampliar com os candidatos já catalogados (Fator, AXA, HDI); medir sempre média e pior caso.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Medir a extração seccionada (</w:t>
      </w:r>
      <w:r>
        <w:rPr>
          <w:rFonts w:ascii="Courier New" w:cs="Courier New" w:eastAsia="Courier New" w:hAnsi="Courier New"/>
          <w:sz w:val="18"/>
          <w:szCs w:val="18"/>
        </w:rPr>
        <w:t xml:space="preserve">OPENAI_EXTRACTION_MODE=sectioned</w:t>
      </w:r>
      <w:r>
        <w:t xml:space="preserve">) contra a extração em chamada única.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Unir condições gerais e Especificação da mesma apólice numa única análise.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Suportar documentos com várias apólices (divulgações financeiras) e normalização de unidades.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Busca semântica com embeddings no acervo e comparação de mais de dois documentos.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Ciclo de feedback do especialista: correções humanas alimentando o gabarito e ajustes da taxonomia.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Modelos locais ou OCR dedicado (Azure Document Intelligence, Textract) para cenários com restrição de dados.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Integração contínua executando testes e avaliações a cada mudança.</w:t>
      </w:r>
    </w:p>
    <w:p>
      <w:pPr>
        <w:pStyle w:val="Heading1"/>
      </w:pPr>
      <w:r>
        <w:t xml:space="preserve">11. Fontes dos documentos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Chubb — Condições Contratuais D&amp;O Capital Fechado, processo SUSEP 15414.900832/2017-90, versão 12/2025: </w:t>
      </w:r>
      <w:hyperlink w:history="1" r:id="rIdj6o3wrxbryw3xyna8nfm1">
        <w:r>
          <w:rPr>
            <w:rStyle w:val="Hyperlink"/>
          </w:rPr>
          <w:t xml:space="preserve">https://www.chubb.com/content/dam/chubb-sites/chubb-com/br-pt/condicoes-gerais/diretores-e-administradores/capital-fechado-processo-susep-15414-900832-2017-90-versao-a-partir-de-16-12-2025.pdf</w:t>
        </w:r>
      </w:hyperlink>
    </w:p>
    <w:p>
      <w:pPr>
        <w:pStyle w:val="ListParagraph"/>
        <w:numPr>
          <w:ilvl w:val="0"/>
          <w:numId w:val="9"/>
        </w:numPr>
        <w:spacing w:after="60"/>
      </w:pPr>
      <w:r>
        <w:t xml:space="preserve">Sompo — Condições Gerais RC D&amp;O v1.5, processo SUSEP 15414.652408/2023-71, 11/2025: </w:t>
      </w:r>
      <w:hyperlink w:history="1" r:id="rIdgoanht4ti3m0rgnuzsvvx">
        <w:r>
          <w:rPr>
            <w:rStyle w:val="Hyperlink"/>
          </w:rPr>
          <w:t xml:space="preserve">https://sompo.com.br/produto/sompo-responsabilidade-civil-do</w:t>
        </w:r>
      </w:hyperlink>
    </w:p>
    <w:p>
      <w:pPr>
        <w:pStyle w:val="ListParagraph"/>
        <w:numPr>
          <w:ilvl w:val="0"/>
          <w:numId w:val="9"/>
        </w:numPr>
        <w:spacing w:after="60"/>
      </w:pPr>
      <w:r>
        <w:t xml:space="preserve">Invepar — Demonstrações contábeis de 31/12/2024 (DFP) e 31/12/2025, publicadas no site de relações com investidores.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PRODEMGE — Contratos PS 907/2020 (Ezze Seguros) e PS 1037/2025 (Austral Seguradora), Sistema Eletrônico de Informações de Minas Gerais.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Robustez: SUSEP (Automóvel), BB Seguros (Residencial), Porto Seguro (Viagem), Chubb (Empresarial PME), Banrisul/Icatu (Vida), Governo do RS (Seguro Garantia) e apólice sintética criada para o projeto.</w:t>
      </w:r>
    </w:p>
    <w:p>
      <w:pPr>
        <w:spacing w:after="120"/>
      </w:pPr>
      <w:r>
        <w:t xml:space="preserve">Checksums SHA-256 e URLs completas: </w:t>
      </w:r>
      <w:r>
        <w:rPr>
          <w:rFonts w:ascii="Courier New" w:cs="Courier New" w:eastAsia="Courier New" w:hAnsi="Courier New"/>
          <w:sz w:val="18"/>
          <w:szCs w:val="18"/>
        </w:rPr>
        <w:t xml:space="preserve">datasets/SOURCES.md</w:t>
      </w:r>
      <w:r>
        <w:t xml:space="preserve"> e </w:t>
      </w:r>
      <w:r>
        <w:rPr>
          <w:rFonts w:ascii="Courier New" w:cs="Courier New" w:eastAsia="Courier New" w:hAnsi="Courier New"/>
          <w:sz w:val="18"/>
          <w:szCs w:val="18"/>
        </w:rPr>
        <w:t xml:space="preserve">datasets/stress_test/README_origem.md</w:t>
      </w:r>
      <w:r>
        <w:t xml:space="preserve">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7606A"/>
        <w:sz w:val="16"/>
        <w:szCs w:val="16"/>
      </w:rPr>
      <w:t xml:space="preserve">InsurMinds_PROTETOR · Gp_Protetor · Página </w:t>
    </w:r>
    <w:r>
      <w:rPr>
        <w:color w:val="5760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7606A"/>
        <w:sz w:val="16"/>
        <w:szCs w:val="16"/>
      </w:rPr>
      <w:t xml:space="preserve"> de </w:t>
    </w:r>
    <w:r>
      <w:rPr>
        <w:color w:val="5760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60"/>
    </w:pPr>
    <w:rPr>
      <w:rFonts w:ascii="Arial" w:cs="Arial" w:eastAsia="Arial" w:hAnsi="Arial"/>
      <w:b/>
      <w:bCs/>
      <w:color w:val="0B3D62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B3D6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B3D6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dqrqebzhyxdasa6vuowc7" Type="http://schemas.openxmlformats.org/officeDocument/2006/relationships/hyperlink" Target="https://github.com/Georastreador/InsurMinds_Projeto_Final_PROTETOR" TargetMode="External"/><Relationship Id="rIdj6o3wrxbryw3xyna8nfm1" Type="http://schemas.openxmlformats.org/officeDocument/2006/relationships/hyperlink" Target="https://www.chubb.com/content/dam/chubb-sites/chubb-com/br-pt/condicoes-gerais/diretores-e-administradores/capital-fechado-processo-susep-15414-900832-2017-90-versao-a-partir-de-16-12-2025.pdf" TargetMode="External"/><Relationship Id="rIdgoanht4ti3m0rgnuzsvvx" Type="http://schemas.openxmlformats.org/officeDocument/2006/relationships/hyperlink" Target="https://sompo.com.br/produto/sompo-responsabilidade-civil-do" TargetMode="External"/><Relationship Id="rId8" Type="http://schemas.openxmlformats.org/officeDocument/2006/relationships/image" Target="media/6ee4ee16c2fc1a6a1890c092f321d807d3fc22d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InsurMinds_PROTETOR — Relatório Técnico</dc:title>
  <dc:creator>Gp_Protetor</dc:creator>
  <cp:lastModifiedBy>Un-named</cp:lastModifiedBy>
  <cp:revision>1</cp:revision>
  <dcterms:created xsi:type="dcterms:W3CDTF">2026-10-01T03:01:38.073Z</dcterms:created>
  <dcterms:modified xsi:type="dcterms:W3CDTF">2026-10-01T03:01:38.074Z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