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5D37A5" w14:textId="04EC4A9F" w:rsidR="001C05AD" w:rsidRDefault="00D60863" w:rsidP="006518F7">
      <w:pPr>
        <w:pStyle w:val="Title"/>
      </w:pPr>
      <w:r>
        <w:t>Interview Protocol</w:t>
      </w:r>
    </w:p>
    <w:p w14:paraId="0952BC21" w14:textId="7AA5CCA5" w:rsidR="00A704AB" w:rsidRDefault="00A53BE9" w:rsidP="00A53BE9">
      <w:pPr>
        <w:jc w:val="center"/>
      </w:pPr>
      <w:r>
        <w:t>SPDX Case Study</w:t>
      </w:r>
    </w:p>
    <w:p w14:paraId="77F75F45" w14:textId="4607E207" w:rsidR="00A704AB" w:rsidRPr="00A704AB" w:rsidRDefault="00A704AB" w:rsidP="00A53BE9">
      <w:pPr>
        <w:jc w:val="center"/>
      </w:pPr>
      <w:r>
        <w:t>IRB Approved: #473-16-EX</w:t>
      </w:r>
    </w:p>
    <w:p w14:paraId="04D60730" w14:textId="77777777" w:rsidR="00D60863" w:rsidRDefault="00D60863"/>
    <w:p w14:paraId="51F7752C" w14:textId="77777777" w:rsidR="004D0AB1" w:rsidRPr="00C319BA" w:rsidRDefault="00541CFC" w:rsidP="00EC08AB">
      <w:pPr>
        <w:rPr>
          <w:b/>
          <w:bCs/>
          <w:color w:val="000000"/>
          <w:szCs w:val="20"/>
        </w:rPr>
      </w:pPr>
      <w:r w:rsidRPr="00C319BA">
        <w:rPr>
          <w:b/>
          <w:bCs/>
          <w:color w:val="000000"/>
          <w:szCs w:val="20"/>
        </w:rPr>
        <w:t>Main Interview Question</w:t>
      </w:r>
      <w:r w:rsidR="00EC08AB" w:rsidRPr="00C319BA">
        <w:rPr>
          <w:b/>
          <w:bCs/>
          <w:color w:val="000000"/>
          <w:szCs w:val="20"/>
        </w:rPr>
        <w:t xml:space="preserve">: </w:t>
      </w:r>
    </w:p>
    <w:p w14:paraId="6BA3AAC2" w14:textId="370E0C02" w:rsidR="00EC08AB" w:rsidRPr="00885078" w:rsidRDefault="00D64584" w:rsidP="00EC08AB">
      <w:pPr>
        <w:rPr>
          <w:color w:val="00B050"/>
          <w:szCs w:val="20"/>
        </w:rPr>
      </w:pPr>
      <w:r w:rsidRPr="00885078">
        <w:rPr>
          <w:b/>
          <w:color w:val="00B050"/>
          <w:sz w:val="24"/>
        </w:rPr>
        <w:t xml:space="preserve">In the context of software exchange, </w:t>
      </w:r>
      <w:r w:rsidR="00C319BA" w:rsidRPr="00885078">
        <w:rPr>
          <w:b/>
          <w:color w:val="00B050"/>
          <w:sz w:val="24"/>
        </w:rPr>
        <w:br/>
      </w:r>
      <w:r w:rsidRPr="00885078">
        <w:rPr>
          <w:b/>
          <w:color w:val="00B050"/>
          <w:sz w:val="24"/>
        </w:rPr>
        <w:t>could you describe your organization's OSS risk management routines?</w:t>
      </w:r>
    </w:p>
    <w:p w14:paraId="0A0584CE" w14:textId="77777777" w:rsidR="00D64584" w:rsidRDefault="00D64584" w:rsidP="00EC08AB">
      <w:pPr>
        <w:rPr>
          <w:color w:val="000000"/>
          <w:szCs w:val="20"/>
        </w:rPr>
      </w:pPr>
    </w:p>
    <w:p w14:paraId="00DAC16D" w14:textId="4EA7F484" w:rsidR="00EC08AB" w:rsidRDefault="004D0AB1" w:rsidP="00EC08AB">
      <w:pPr>
        <w:rPr>
          <w:color w:val="000000"/>
          <w:szCs w:val="20"/>
        </w:rPr>
      </w:pPr>
      <w:r>
        <w:rPr>
          <w:color w:val="000000"/>
          <w:szCs w:val="20"/>
        </w:rPr>
        <w:t>Follow</w:t>
      </w:r>
      <w:r w:rsidR="00EC08AB">
        <w:rPr>
          <w:color w:val="000000"/>
          <w:szCs w:val="20"/>
        </w:rPr>
        <w:t>-up questions:</w:t>
      </w:r>
    </w:p>
    <w:p w14:paraId="633B2A44" w14:textId="77777777" w:rsidR="00EC08AB" w:rsidRDefault="00EC08AB" w:rsidP="00EC08AB">
      <w:pPr>
        <w:rPr>
          <w:color w:val="00000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44"/>
        <w:gridCol w:w="8546"/>
      </w:tblGrid>
      <w:tr w:rsidR="006157BA" w14:paraId="706E67C7" w14:textId="77777777" w:rsidTr="004E5905">
        <w:trPr>
          <w:trHeight w:val="270"/>
        </w:trPr>
        <w:tc>
          <w:tcPr>
            <w:tcW w:w="1040" w:type="pct"/>
            <w:tcBorders>
              <w:top w:val="single" w:sz="4" w:space="0" w:color="auto"/>
              <w:left w:val="single" w:sz="4" w:space="0" w:color="auto"/>
            </w:tcBorders>
          </w:tcPr>
          <w:p w14:paraId="2E07AD79" w14:textId="1C6D7316" w:rsidR="006157BA" w:rsidRDefault="00131C32" w:rsidP="00464F92">
            <w:pPr>
              <w:spacing w:after="100"/>
            </w:pPr>
            <w:r>
              <w:t>Sense M</w:t>
            </w:r>
            <w:r w:rsidR="006157BA">
              <w:t>aking</w:t>
            </w:r>
          </w:p>
        </w:tc>
        <w:tc>
          <w:tcPr>
            <w:tcW w:w="3960" w:type="pct"/>
            <w:tcBorders>
              <w:top w:val="single" w:sz="4" w:space="0" w:color="auto"/>
              <w:right w:val="single" w:sz="4" w:space="0" w:color="auto"/>
            </w:tcBorders>
          </w:tcPr>
          <w:p w14:paraId="7796D4CB" w14:textId="3BCBD050" w:rsidR="006157BA" w:rsidRPr="009710C6" w:rsidRDefault="006157BA" w:rsidP="00464F92">
            <w:pPr>
              <w:spacing w:after="100"/>
              <w:rPr>
                <w:color w:val="0000FF"/>
              </w:rPr>
            </w:pPr>
            <w:r w:rsidRPr="009710C6">
              <w:rPr>
                <w:b/>
                <w:color w:val="0000FF"/>
              </w:rPr>
              <w:t>Q1:</w:t>
            </w:r>
            <w:r w:rsidRPr="009710C6">
              <w:rPr>
                <w:color w:val="0000FF"/>
              </w:rPr>
              <w:t xml:space="preserve"> How did your organization become familiar with or adopt SPDX?</w:t>
            </w:r>
          </w:p>
        </w:tc>
      </w:tr>
      <w:tr w:rsidR="009710C6" w14:paraId="0B2DA279" w14:textId="77777777" w:rsidTr="009710C6">
        <w:trPr>
          <w:trHeight w:val="270"/>
        </w:trPr>
        <w:tc>
          <w:tcPr>
            <w:tcW w:w="1040" w:type="pct"/>
            <w:tcBorders>
              <w:left w:val="single" w:sz="4" w:space="0" w:color="auto"/>
            </w:tcBorders>
          </w:tcPr>
          <w:p w14:paraId="1A0F07C6" w14:textId="05ADCC1A" w:rsidR="009710C6" w:rsidRDefault="00131C32" w:rsidP="00464F92">
            <w:pPr>
              <w:spacing w:after="100"/>
            </w:pPr>
            <w:r>
              <w:t>Adoption</w:t>
            </w:r>
            <w:r w:rsidR="009710C6">
              <w:t xml:space="preserve"> </w:t>
            </w:r>
            <w:r>
              <w:t>S</w:t>
            </w:r>
            <w:r w:rsidR="009710C6">
              <w:t>trategies</w:t>
            </w:r>
          </w:p>
        </w:tc>
        <w:tc>
          <w:tcPr>
            <w:tcW w:w="3960" w:type="pct"/>
            <w:tcBorders>
              <w:right w:val="single" w:sz="4" w:space="0" w:color="auto"/>
            </w:tcBorders>
          </w:tcPr>
          <w:p w14:paraId="4DA9EE73" w14:textId="5CF6BBED" w:rsidR="009710C6" w:rsidRPr="009E66AD" w:rsidRDefault="009710C6" w:rsidP="00464F92">
            <w:pPr>
              <w:spacing w:after="100"/>
              <w:ind w:left="433"/>
              <w:rPr>
                <w:bCs/>
                <w:color w:val="0432FF"/>
                <w:szCs w:val="20"/>
              </w:rPr>
            </w:pPr>
            <w:r w:rsidRPr="74A9B257">
              <w:rPr>
                <w:b/>
                <w:bCs/>
                <w:color w:val="FF9300"/>
              </w:rPr>
              <w:t>Q1.1</w:t>
            </w:r>
            <w:r w:rsidRPr="74A9B257">
              <w:rPr>
                <w:color w:val="FF9300"/>
              </w:rPr>
              <w:t xml:space="preserve">: </w:t>
            </w:r>
            <w:r w:rsidRPr="009710C6">
              <w:rPr>
                <w:color w:val="FF9300"/>
              </w:rPr>
              <w:t>Can you speak about SPDX adoption strategies in your organization and how those strategies have been informed (i.e., through the SPDX website, discussions in the SPDX community, upstream and downstream vendors, or elsewhere)?</w:t>
            </w:r>
          </w:p>
        </w:tc>
      </w:tr>
      <w:tr w:rsidR="00EC08AB" w14:paraId="7C2629B0" w14:textId="77777777" w:rsidTr="004E5905">
        <w:trPr>
          <w:trHeight w:val="449"/>
        </w:trPr>
        <w:tc>
          <w:tcPr>
            <w:tcW w:w="1040" w:type="pct"/>
            <w:tcBorders>
              <w:left w:val="single" w:sz="4" w:space="0" w:color="auto"/>
              <w:bottom w:val="single" w:sz="4" w:space="0" w:color="auto"/>
            </w:tcBorders>
          </w:tcPr>
          <w:p w14:paraId="6FD17155" w14:textId="4E707069" w:rsidR="00EC08AB" w:rsidRDefault="00541CFC" w:rsidP="00464F92">
            <w:pPr>
              <w:spacing w:after="100"/>
            </w:pPr>
            <w:r>
              <w:t xml:space="preserve">SPDX </w:t>
            </w:r>
            <w:r w:rsidR="00131C32">
              <w:t>U</w:t>
            </w:r>
            <w:r>
              <w:t>se</w:t>
            </w:r>
            <w:r w:rsidR="004E5905">
              <w:t xml:space="preserve"> </w:t>
            </w:r>
            <w:r w:rsidR="00131C32">
              <w:t>C</w:t>
            </w:r>
            <w:r w:rsidR="002E4895">
              <w:t>ases</w:t>
            </w:r>
          </w:p>
        </w:tc>
        <w:tc>
          <w:tcPr>
            <w:tcW w:w="3960" w:type="pct"/>
            <w:tcBorders>
              <w:bottom w:val="single" w:sz="4" w:space="0" w:color="auto"/>
              <w:right w:val="single" w:sz="4" w:space="0" w:color="auto"/>
            </w:tcBorders>
          </w:tcPr>
          <w:p w14:paraId="50F5AE22" w14:textId="6615CEE9" w:rsidR="00EC08AB" w:rsidRPr="004E5905" w:rsidRDefault="74A9B257" w:rsidP="00464F92">
            <w:pPr>
              <w:spacing w:after="100"/>
              <w:ind w:left="433"/>
              <w:rPr>
                <w:b/>
                <w:bCs/>
                <w:color w:val="FF9300"/>
              </w:rPr>
            </w:pPr>
            <w:r w:rsidRPr="004E5905">
              <w:rPr>
                <w:b/>
                <w:bCs/>
                <w:color w:val="FF9300"/>
              </w:rPr>
              <w:t>Q1</w:t>
            </w:r>
            <w:r w:rsidR="004E5905" w:rsidRPr="004E5905">
              <w:rPr>
                <w:b/>
                <w:bCs/>
                <w:color w:val="FF9300"/>
              </w:rPr>
              <w:t>.2</w:t>
            </w:r>
            <w:r w:rsidRPr="004E5905">
              <w:rPr>
                <w:b/>
                <w:bCs/>
                <w:color w:val="FF9300"/>
              </w:rPr>
              <w:t xml:space="preserve">: </w:t>
            </w:r>
            <w:r w:rsidR="004E5905" w:rsidRPr="004E5905">
              <w:rPr>
                <w:bCs/>
                <w:color w:val="FF9300"/>
              </w:rPr>
              <w:t>Could you describe SPDX-related use cases for your existing OSS risk management routines?</w:t>
            </w:r>
          </w:p>
        </w:tc>
      </w:tr>
      <w:tr w:rsidR="009E66AD" w14:paraId="40B1505B" w14:textId="77777777" w:rsidTr="004E5905">
        <w:trPr>
          <w:trHeight w:val="270"/>
        </w:trPr>
        <w:tc>
          <w:tcPr>
            <w:tcW w:w="1040" w:type="pct"/>
            <w:tcBorders>
              <w:top w:val="single" w:sz="4" w:space="0" w:color="auto"/>
              <w:left w:val="single" w:sz="4" w:space="0" w:color="auto"/>
            </w:tcBorders>
          </w:tcPr>
          <w:p w14:paraId="5F1A2EE2" w14:textId="77777777" w:rsidR="009E66AD" w:rsidRDefault="009E66AD" w:rsidP="00464F92">
            <w:pPr>
              <w:spacing w:after="100"/>
            </w:pPr>
            <w:r>
              <w:t xml:space="preserve">Compatibility </w:t>
            </w:r>
          </w:p>
        </w:tc>
        <w:tc>
          <w:tcPr>
            <w:tcW w:w="3960" w:type="pct"/>
            <w:tcBorders>
              <w:top w:val="single" w:sz="4" w:space="0" w:color="auto"/>
              <w:right w:val="single" w:sz="4" w:space="0" w:color="auto"/>
            </w:tcBorders>
          </w:tcPr>
          <w:p w14:paraId="0A858E50" w14:textId="521A3AF3" w:rsidR="009E66AD" w:rsidRDefault="74A9B257" w:rsidP="00464F92">
            <w:pPr>
              <w:spacing w:after="100"/>
              <w:ind w:left="433" w:hanging="433"/>
            </w:pPr>
            <w:r w:rsidRPr="74A9B257">
              <w:rPr>
                <w:b/>
                <w:bCs/>
                <w:color w:val="0432FF"/>
              </w:rPr>
              <w:t xml:space="preserve">Q2: </w:t>
            </w:r>
            <w:r w:rsidR="004E5905" w:rsidRPr="004E5905">
              <w:rPr>
                <w:color w:val="0432FF"/>
              </w:rPr>
              <w:t xml:space="preserve">Could you comment on the compatibility of SPDX specification with your </w:t>
            </w:r>
            <w:r w:rsidR="004E5905" w:rsidRPr="00A86A34">
              <w:rPr>
                <w:b/>
                <w:color w:val="0432FF"/>
              </w:rPr>
              <w:t>existing</w:t>
            </w:r>
            <w:r w:rsidR="004E5905" w:rsidRPr="004E5905">
              <w:rPr>
                <w:color w:val="0432FF"/>
              </w:rPr>
              <w:t xml:space="preserve"> OSS risk management routines?</w:t>
            </w:r>
          </w:p>
        </w:tc>
      </w:tr>
      <w:tr w:rsidR="009E66AD" w14:paraId="648A76DB" w14:textId="77777777" w:rsidTr="009710C6">
        <w:trPr>
          <w:trHeight w:val="441"/>
        </w:trPr>
        <w:tc>
          <w:tcPr>
            <w:tcW w:w="1040" w:type="pct"/>
            <w:tcBorders>
              <w:left w:val="single" w:sz="4" w:space="0" w:color="auto"/>
            </w:tcBorders>
          </w:tcPr>
          <w:p w14:paraId="6D647CDC" w14:textId="5F427CD5" w:rsidR="009E66AD" w:rsidRDefault="00856A29" w:rsidP="00464F92">
            <w:pPr>
              <w:spacing w:after="100"/>
            </w:pPr>
            <w:r>
              <w:t>U</w:t>
            </w:r>
            <w:r w:rsidR="00131C32">
              <w:t>sefulness</w:t>
            </w:r>
          </w:p>
        </w:tc>
        <w:tc>
          <w:tcPr>
            <w:tcW w:w="3960" w:type="pct"/>
            <w:tcBorders>
              <w:right w:val="single" w:sz="4" w:space="0" w:color="auto"/>
            </w:tcBorders>
          </w:tcPr>
          <w:p w14:paraId="431700E7" w14:textId="0FAD877A" w:rsidR="009E66AD" w:rsidRPr="008403F3" w:rsidRDefault="74A9B257" w:rsidP="00464F92">
            <w:pPr>
              <w:spacing w:after="100"/>
              <w:ind w:left="433"/>
              <w:rPr>
                <w:color w:val="FF9300"/>
              </w:rPr>
            </w:pPr>
            <w:r w:rsidRPr="74A9B257">
              <w:rPr>
                <w:b/>
                <w:bCs/>
                <w:color w:val="FF9300"/>
              </w:rPr>
              <w:t xml:space="preserve">Q2.1: </w:t>
            </w:r>
            <w:r w:rsidR="004E5905" w:rsidRPr="004E5905">
              <w:rPr>
                <w:color w:val="FF9300"/>
              </w:rPr>
              <w:t>Approximately what percentage of SPDX fields are you currently using or plan to use? Could you comment on the use of these fields or the non-use of others?</w:t>
            </w:r>
          </w:p>
        </w:tc>
      </w:tr>
      <w:tr w:rsidR="009E66AD" w14:paraId="09775857" w14:textId="77777777" w:rsidTr="009710C6">
        <w:tc>
          <w:tcPr>
            <w:tcW w:w="1040" w:type="pct"/>
            <w:tcBorders>
              <w:left w:val="single" w:sz="4" w:space="0" w:color="auto"/>
            </w:tcBorders>
          </w:tcPr>
          <w:p w14:paraId="254509A8" w14:textId="77777777" w:rsidR="009E66AD" w:rsidRDefault="009E66AD" w:rsidP="00464F92">
            <w:pPr>
              <w:spacing w:after="100"/>
            </w:pPr>
            <w:r>
              <w:t>Integration Points</w:t>
            </w:r>
          </w:p>
        </w:tc>
        <w:tc>
          <w:tcPr>
            <w:tcW w:w="3960" w:type="pct"/>
            <w:tcBorders>
              <w:right w:val="single" w:sz="4" w:space="0" w:color="auto"/>
            </w:tcBorders>
          </w:tcPr>
          <w:p w14:paraId="649028BA" w14:textId="34AC192C" w:rsidR="009E66AD" w:rsidRPr="008403F3" w:rsidRDefault="008403F3" w:rsidP="00464F92">
            <w:pPr>
              <w:spacing w:after="100"/>
              <w:ind w:left="433"/>
              <w:rPr>
                <w:color w:val="FF9300"/>
              </w:rPr>
            </w:pPr>
            <w:r>
              <w:rPr>
                <w:b/>
                <w:bCs/>
                <w:color w:val="FF9300"/>
                <w:szCs w:val="20"/>
              </w:rPr>
              <w:t>Q2.2</w:t>
            </w:r>
            <w:r w:rsidR="009E66AD" w:rsidRPr="008403F3">
              <w:rPr>
                <w:b/>
                <w:bCs/>
                <w:color w:val="FF9300"/>
                <w:szCs w:val="20"/>
              </w:rPr>
              <w:t xml:space="preserve">: </w:t>
            </w:r>
            <w:r w:rsidR="00856A29" w:rsidRPr="00856A29">
              <w:rPr>
                <w:color w:val="FF9300"/>
                <w:szCs w:val="20"/>
              </w:rPr>
              <w:t>Are SPDX fields used for enforcing automatic "gates" in the development build and release cycles? If yes, where would such "gates" be?</w:t>
            </w:r>
          </w:p>
        </w:tc>
      </w:tr>
      <w:tr w:rsidR="009E66AD" w14:paraId="775E68B2" w14:textId="77777777" w:rsidTr="009710C6">
        <w:trPr>
          <w:trHeight w:val="747"/>
        </w:trPr>
        <w:tc>
          <w:tcPr>
            <w:tcW w:w="1040" w:type="pct"/>
            <w:tcBorders>
              <w:left w:val="single" w:sz="4" w:space="0" w:color="auto"/>
            </w:tcBorders>
          </w:tcPr>
          <w:p w14:paraId="4284C33E" w14:textId="391770B6" w:rsidR="009E66AD" w:rsidRDefault="009E66AD" w:rsidP="00464F92">
            <w:pPr>
              <w:spacing w:after="100"/>
            </w:pPr>
            <w:r>
              <w:t xml:space="preserve">Tooling </w:t>
            </w:r>
            <w:r w:rsidR="00131C32">
              <w:t>F</w:t>
            </w:r>
            <w:r>
              <w:t>easibility</w:t>
            </w:r>
          </w:p>
        </w:tc>
        <w:tc>
          <w:tcPr>
            <w:tcW w:w="3960" w:type="pct"/>
            <w:tcBorders>
              <w:right w:val="single" w:sz="4" w:space="0" w:color="auto"/>
            </w:tcBorders>
          </w:tcPr>
          <w:p w14:paraId="7A42FFDB" w14:textId="36AAB175" w:rsidR="009E66AD" w:rsidRDefault="00B1716D" w:rsidP="00464F92">
            <w:pPr>
              <w:spacing w:after="100"/>
              <w:ind w:left="973"/>
            </w:pPr>
            <w:r>
              <w:rPr>
                <w:b/>
                <w:bCs/>
                <w:color w:val="7F7F7F" w:themeColor="background1" w:themeShade="7F"/>
              </w:rPr>
              <w:t>Q2.2</w:t>
            </w:r>
            <w:r w:rsidR="74A9B257" w:rsidRPr="74A9B257">
              <w:rPr>
                <w:b/>
                <w:bCs/>
                <w:color w:val="7F7F7F" w:themeColor="background1" w:themeShade="7F"/>
              </w:rPr>
              <w:t xml:space="preserve">.1: </w:t>
            </w:r>
            <w:r w:rsidR="00856A29" w:rsidRPr="00856A29">
              <w:rPr>
                <w:color w:val="7F7F7F" w:themeColor="background1" w:themeShade="7F"/>
              </w:rPr>
              <w:t>Are you using or custom developing SPDX compatible tools to support such "gates"?</w:t>
            </w:r>
          </w:p>
        </w:tc>
      </w:tr>
      <w:tr w:rsidR="00856A29" w14:paraId="48520B8E" w14:textId="77777777" w:rsidTr="00DC761A">
        <w:tc>
          <w:tcPr>
            <w:tcW w:w="1040" w:type="pct"/>
            <w:tcBorders>
              <w:left w:val="single" w:sz="4" w:space="0" w:color="auto"/>
            </w:tcBorders>
          </w:tcPr>
          <w:p w14:paraId="11C57EFE" w14:textId="408B03AC" w:rsidR="00856A29" w:rsidRDefault="00856A29" w:rsidP="00464F92">
            <w:pPr>
              <w:spacing w:after="100"/>
            </w:pPr>
            <w:r>
              <w:t>Abstractions</w:t>
            </w:r>
          </w:p>
        </w:tc>
        <w:tc>
          <w:tcPr>
            <w:tcW w:w="3960" w:type="pct"/>
            <w:tcBorders>
              <w:right w:val="single" w:sz="4" w:space="0" w:color="auto"/>
            </w:tcBorders>
          </w:tcPr>
          <w:p w14:paraId="60A580FB" w14:textId="0FB81E19" w:rsidR="00856A29" w:rsidRPr="008403F3" w:rsidRDefault="00856A29" w:rsidP="00464F92">
            <w:pPr>
              <w:spacing w:after="100"/>
              <w:ind w:left="433"/>
              <w:rPr>
                <w:color w:val="FF9300"/>
              </w:rPr>
            </w:pPr>
            <w:r>
              <w:rPr>
                <w:b/>
                <w:bCs/>
                <w:color w:val="FF9300"/>
                <w:szCs w:val="20"/>
              </w:rPr>
              <w:t>Q2.3</w:t>
            </w:r>
            <w:r w:rsidRPr="008403F3">
              <w:rPr>
                <w:b/>
                <w:bCs/>
                <w:color w:val="FF9300"/>
                <w:szCs w:val="20"/>
              </w:rPr>
              <w:t xml:space="preserve">: </w:t>
            </w:r>
            <w:r w:rsidRPr="00856A29">
              <w:rPr>
                <w:color w:val="FF9300"/>
                <w:szCs w:val="20"/>
              </w:rPr>
              <w:t>What is the level of abstraction (e.g. project, package, or file) at which your existing practices track OSS risk?</w:t>
            </w:r>
          </w:p>
        </w:tc>
      </w:tr>
      <w:tr w:rsidR="00856A29" w14:paraId="32639647" w14:textId="77777777" w:rsidTr="00113426">
        <w:trPr>
          <w:trHeight w:val="747"/>
        </w:trPr>
        <w:tc>
          <w:tcPr>
            <w:tcW w:w="1040" w:type="pct"/>
            <w:tcBorders>
              <w:left w:val="single" w:sz="4" w:space="0" w:color="auto"/>
            </w:tcBorders>
          </w:tcPr>
          <w:p w14:paraId="0E920F6B" w14:textId="0395566D" w:rsidR="00856A29" w:rsidRDefault="003D3D32" w:rsidP="00464F92">
            <w:pPr>
              <w:spacing w:after="100"/>
            </w:pPr>
            <w:r>
              <w:t>External Reference</w:t>
            </w:r>
          </w:p>
        </w:tc>
        <w:tc>
          <w:tcPr>
            <w:tcW w:w="3960" w:type="pct"/>
            <w:tcBorders>
              <w:right w:val="single" w:sz="4" w:space="0" w:color="auto"/>
            </w:tcBorders>
          </w:tcPr>
          <w:p w14:paraId="146644A1" w14:textId="542F147E" w:rsidR="00856A29" w:rsidRDefault="00856A29" w:rsidP="00464F92">
            <w:pPr>
              <w:spacing w:after="100"/>
              <w:ind w:left="973"/>
            </w:pPr>
            <w:r>
              <w:rPr>
                <w:b/>
                <w:bCs/>
                <w:color w:val="7F7F7F" w:themeColor="background1" w:themeShade="7F"/>
              </w:rPr>
              <w:t>Q2.3</w:t>
            </w:r>
            <w:r w:rsidRPr="74A9B257">
              <w:rPr>
                <w:b/>
                <w:bCs/>
                <w:color w:val="7F7F7F" w:themeColor="background1" w:themeShade="7F"/>
              </w:rPr>
              <w:t xml:space="preserve">.1: </w:t>
            </w:r>
            <w:r w:rsidR="005F375B" w:rsidRPr="005F375B">
              <w:rPr>
                <w:color w:val="7F7F7F" w:themeColor="background1" w:themeShade="7F"/>
              </w:rPr>
              <w:t>Can you comment on the use of SPDX for vulnerability tracking? Would this feature improve SPDX adoption in your organization?</w:t>
            </w:r>
          </w:p>
        </w:tc>
      </w:tr>
      <w:tr w:rsidR="009E66AD" w14:paraId="6A087FFE" w14:textId="77777777" w:rsidTr="00113426">
        <w:trPr>
          <w:trHeight w:val="693"/>
        </w:trPr>
        <w:tc>
          <w:tcPr>
            <w:tcW w:w="1040" w:type="pct"/>
            <w:tcBorders>
              <w:left w:val="single" w:sz="4" w:space="0" w:color="auto"/>
            </w:tcBorders>
          </w:tcPr>
          <w:p w14:paraId="6E711EC6" w14:textId="2184A9E4" w:rsidR="009E66AD" w:rsidRDefault="00113426" w:rsidP="00464F92">
            <w:pPr>
              <w:spacing w:after="100"/>
            </w:pPr>
            <w:r>
              <w:t>Vulnerability Database</w:t>
            </w:r>
          </w:p>
        </w:tc>
        <w:tc>
          <w:tcPr>
            <w:tcW w:w="3960" w:type="pct"/>
            <w:tcBorders>
              <w:right w:val="single" w:sz="4" w:space="0" w:color="auto"/>
            </w:tcBorders>
          </w:tcPr>
          <w:p w14:paraId="04B68B3E" w14:textId="65A8C921" w:rsidR="009E66AD" w:rsidRPr="00056A4E" w:rsidRDefault="00113426" w:rsidP="00464F92">
            <w:pPr>
              <w:spacing w:after="100"/>
              <w:ind w:left="1513"/>
              <w:rPr>
                <w:b/>
                <w:bCs/>
                <w:color w:val="7F7F7F" w:themeColor="text1" w:themeTint="80"/>
                <w:szCs w:val="20"/>
              </w:rPr>
            </w:pPr>
            <w:r w:rsidRPr="00113426">
              <w:rPr>
                <w:b/>
                <w:color w:val="385623" w:themeColor="accent6" w:themeShade="80"/>
                <w:szCs w:val="20"/>
              </w:rPr>
              <w:t>Q2.3.1.1:</w:t>
            </w:r>
            <w:r w:rsidRPr="00113426">
              <w:rPr>
                <w:color w:val="385623" w:themeColor="accent6" w:themeShade="80"/>
                <w:szCs w:val="20"/>
              </w:rPr>
              <w:t xml:space="preserve"> </w:t>
            </w:r>
            <w:r w:rsidR="005F375B" w:rsidRPr="005F375B">
              <w:rPr>
                <w:color w:val="385623" w:themeColor="accent6" w:themeShade="80"/>
                <w:szCs w:val="20"/>
              </w:rPr>
              <w:t>Could you speak to ways in which you are trying to improve the association of OSS components with vulnerability databases such as NVD, CPE?</w:t>
            </w:r>
          </w:p>
        </w:tc>
      </w:tr>
      <w:tr w:rsidR="00113426" w14:paraId="4CB74A0D" w14:textId="77777777" w:rsidTr="00DC761A">
        <w:trPr>
          <w:trHeight w:val="747"/>
        </w:trPr>
        <w:tc>
          <w:tcPr>
            <w:tcW w:w="1040" w:type="pct"/>
            <w:tcBorders>
              <w:left w:val="single" w:sz="4" w:space="0" w:color="auto"/>
            </w:tcBorders>
          </w:tcPr>
          <w:p w14:paraId="285AF05D" w14:textId="7552AC1B" w:rsidR="00113426" w:rsidRDefault="00D87732" w:rsidP="00464F92">
            <w:pPr>
              <w:spacing w:after="100"/>
            </w:pPr>
            <w:r>
              <w:t>Scanned Licenses</w:t>
            </w:r>
          </w:p>
        </w:tc>
        <w:tc>
          <w:tcPr>
            <w:tcW w:w="3960" w:type="pct"/>
            <w:tcBorders>
              <w:right w:val="single" w:sz="4" w:space="0" w:color="auto"/>
            </w:tcBorders>
          </w:tcPr>
          <w:p w14:paraId="43C3E1B9" w14:textId="136644E6" w:rsidR="00113426" w:rsidRDefault="00113426" w:rsidP="00464F92">
            <w:pPr>
              <w:spacing w:after="100"/>
              <w:ind w:left="973"/>
            </w:pPr>
            <w:r>
              <w:rPr>
                <w:b/>
                <w:bCs/>
                <w:color w:val="7F7F7F" w:themeColor="background1" w:themeShade="7F"/>
              </w:rPr>
              <w:t>Q2.3</w:t>
            </w:r>
            <w:r w:rsidRPr="74A9B257">
              <w:rPr>
                <w:b/>
                <w:bCs/>
                <w:color w:val="7F7F7F" w:themeColor="background1" w:themeShade="7F"/>
              </w:rPr>
              <w:t>.</w:t>
            </w:r>
            <w:r w:rsidR="002A07F5">
              <w:rPr>
                <w:b/>
                <w:bCs/>
                <w:color w:val="7F7F7F" w:themeColor="background1" w:themeShade="7F"/>
              </w:rPr>
              <w:t>2</w:t>
            </w:r>
            <w:r w:rsidRPr="74A9B257">
              <w:rPr>
                <w:b/>
                <w:bCs/>
                <w:color w:val="7F7F7F" w:themeColor="background1" w:themeShade="7F"/>
              </w:rPr>
              <w:t xml:space="preserve">: </w:t>
            </w:r>
            <w:r w:rsidR="002A07F5" w:rsidRPr="002A07F5">
              <w:rPr>
                <w:color w:val="7F7F7F" w:themeColor="background1" w:themeShade="7F"/>
              </w:rPr>
              <w:t>Can you comment on issues that may arise when automatically scanned license results are not sufficient and require manual review?</w:t>
            </w:r>
          </w:p>
        </w:tc>
      </w:tr>
      <w:tr w:rsidR="00113426" w14:paraId="0E561B9E" w14:textId="77777777" w:rsidTr="00DC761A">
        <w:trPr>
          <w:trHeight w:val="693"/>
        </w:trPr>
        <w:tc>
          <w:tcPr>
            <w:tcW w:w="1040" w:type="pct"/>
            <w:tcBorders>
              <w:left w:val="single" w:sz="4" w:space="0" w:color="auto"/>
              <w:bottom w:val="single" w:sz="4" w:space="0" w:color="auto"/>
            </w:tcBorders>
          </w:tcPr>
          <w:p w14:paraId="2EA0B861" w14:textId="160E715E" w:rsidR="00113426" w:rsidRDefault="002A07F5" w:rsidP="00464F92">
            <w:pPr>
              <w:spacing w:after="100"/>
            </w:pPr>
            <w:r>
              <w:t xml:space="preserve">License </w:t>
            </w:r>
            <w:r w:rsidR="00131C32">
              <w:t>M</w:t>
            </w:r>
            <w:r>
              <w:t xml:space="preserve">atching </w:t>
            </w:r>
            <w:r w:rsidR="00131C32">
              <w:t>A</w:t>
            </w:r>
            <w:r w:rsidR="00D87732">
              <w:t>ccuracy</w:t>
            </w:r>
          </w:p>
        </w:tc>
        <w:tc>
          <w:tcPr>
            <w:tcW w:w="3960" w:type="pct"/>
            <w:tcBorders>
              <w:bottom w:val="single" w:sz="4" w:space="0" w:color="auto"/>
              <w:right w:val="single" w:sz="4" w:space="0" w:color="auto"/>
            </w:tcBorders>
          </w:tcPr>
          <w:p w14:paraId="66CE2B0A" w14:textId="0193247B" w:rsidR="00113426" w:rsidRPr="00056A4E" w:rsidRDefault="00113426" w:rsidP="00464F92">
            <w:pPr>
              <w:spacing w:after="100"/>
              <w:ind w:left="1513"/>
              <w:rPr>
                <w:b/>
                <w:bCs/>
                <w:color w:val="7F7F7F" w:themeColor="text1" w:themeTint="80"/>
                <w:szCs w:val="20"/>
              </w:rPr>
            </w:pPr>
            <w:r w:rsidRPr="00113426">
              <w:rPr>
                <w:b/>
                <w:color w:val="385623" w:themeColor="accent6" w:themeShade="80"/>
                <w:szCs w:val="20"/>
              </w:rPr>
              <w:t>Q2.3.</w:t>
            </w:r>
            <w:r w:rsidR="002A07F5">
              <w:rPr>
                <w:b/>
                <w:color w:val="385623" w:themeColor="accent6" w:themeShade="80"/>
                <w:szCs w:val="20"/>
              </w:rPr>
              <w:t>2</w:t>
            </w:r>
            <w:r w:rsidRPr="00113426">
              <w:rPr>
                <w:b/>
                <w:color w:val="385623" w:themeColor="accent6" w:themeShade="80"/>
                <w:szCs w:val="20"/>
              </w:rPr>
              <w:t>.1:</w:t>
            </w:r>
            <w:r w:rsidRPr="00113426">
              <w:rPr>
                <w:color w:val="385623" w:themeColor="accent6" w:themeShade="80"/>
                <w:szCs w:val="20"/>
              </w:rPr>
              <w:t xml:space="preserve"> </w:t>
            </w:r>
            <w:r w:rsidR="002A07F5" w:rsidRPr="002A07F5">
              <w:rPr>
                <w:color w:val="385623" w:themeColor="accent6" w:themeShade="80"/>
                <w:szCs w:val="20"/>
              </w:rPr>
              <w:t>Could you speak to ways in which you are trying to improve the association of OSS components' licenses with the SPDX License List?</w:t>
            </w:r>
          </w:p>
        </w:tc>
      </w:tr>
      <w:tr w:rsidR="005D37D2" w14:paraId="1A17FA1C" w14:textId="77777777" w:rsidTr="009710C6">
        <w:tc>
          <w:tcPr>
            <w:tcW w:w="1040" w:type="pct"/>
            <w:tcBorders>
              <w:top w:val="single" w:sz="4" w:space="0" w:color="auto"/>
              <w:left w:val="single" w:sz="4" w:space="0" w:color="auto"/>
            </w:tcBorders>
          </w:tcPr>
          <w:p w14:paraId="7664A675" w14:textId="2822B8DB" w:rsidR="005D37D2" w:rsidRDefault="00EB54B7" w:rsidP="00464F92">
            <w:pPr>
              <w:spacing w:after="100"/>
            </w:pPr>
            <w:r>
              <w:t xml:space="preserve">Supply </w:t>
            </w:r>
            <w:r w:rsidR="00131C32">
              <w:t>and</w:t>
            </w:r>
            <w:r>
              <w:t xml:space="preserve"> Intake</w:t>
            </w:r>
          </w:p>
        </w:tc>
        <w:tc>
          <w:tcPr>
            <w:tcW w:w="3960" w:type="pct"/>
            <w:tcBorders>
              <w:top w:val="single" w:sz="4" w:space="0" w:color="auto"/>
              <w:right w:val="single" w:sz="4" w:space="0" w:color="auto"/>
            </w:tcBorders>
          </w:tcPr>
          <w:p w14:paraId="0E52D091" w14:textId="79D97358" w:rsidR="005D37D2" w:rsidRPr="00056A4E" w:rsidRDefault="74A9B257" w:rsidP="00464F92">
            <w:pPr>
              <w:spacing w:after="100"/>
              <w:ind w:left="433" w:hanging="433"/>
              <w:rPr>
                <w:b/>
                <w:bCs/>
                <w:color w:val="0432FF"/>
                <w:szCs w:val="20"/>
              </w:rPr>
            </w:pPr>
            <w:r w:rsidRPr="74A9B257">
              <w:rPr>
                <w:b/>
                <w:bCs/>
                <w:color w:val="0432FF"/>
              </w:rPr>
              <w:t xml:space="preserve">Q3: </w:t>
            </w:r>
            <w:r w:rsidR="00EB54B7" w:rsidRPr="00EB54B7">
              <w:rPr>
                <w:color w:val="0432FF"/>
              </w:rPr>
              <w:t xml:space="preserve">Do you currently require SPDX </w:t>
            </w:r>
            <w:r w:rsidR="00E22A1C">
              <w:rPr>
                <w:color w:val="0432FF"/>
              </w:rPr>
              <w:t>documents</w:t>
            </w:r>
            <w:r w:rsidR="00EB54B7" w:rsidRPr="00EB54B7">
              <w:rPr>
                <w:color w:val="0432FF"/>
              </w:rPr>
              <w:t xml:space="preserve"> from suppliers and conversely, do you ship SPDX </w:t>
            </w:r>
            <w:r w:rsidR="00E22A1C">
              <w:rPr>
                <w:color w:val="0432FF"/>
              </w:rPr>
              <w:t>documents</w:t>
            </w:r>
            <w:r w:rsidR="00EB54B7" w:rsidRPr="00EB54B7">
              <w:rPr>
                <w:color w:val="0432FF"/>
              </w:rPr>
              <w:t xml:space="preserve"> with your products?</w:t>
            </w:r>
          </w:p>
        </w:tc>
      </w:tr>
      <w:tr w:rsidR="005D37D2" w14:paraId="44B7035C" w14:textId="77777777" w:rsidTr="009710C6">
        <w:trPr>
          <w:trHeight w:val="720"/>
        </w:trPr>
        <w:tc>
          <w:tcPr>
            <w:tcW w:w="1040" w:type="pct"/>
            <w:tcBorders>
              <w:top w:val="single" w:sz="4" w:space="0" w:color="auto"/>
              <w:left w:val="single" w:sz="4" w:space="0" w:color="auto"/>
              <w:bottom w:val="single" w:sz="4" w:space="0" w:color="auto"/>
            </w:tcBorders>
          </w:tcPr>
          <w:p w14:paraId="696ACAE3" w14:textId="1752F135" w:rsidR="005D37D2" w:rsidRDefault="008403F3" w:rsidP="00464F92">
            <w:pPr>
              <w:spacing w:after="100"/>
            </w:pPr>
            <w:r>
              <w:t>T</w:t>
            </w:r>
            <w:r w:rsidR="005D37D2">
              <w:t>raining</w:t>
            </w:r>
          </w:p>
        </w:tc>
        <w:tc>
          <w:tcPr>
            <w:tcW w:w="3960" w:type="pct"/>
            <w:tcBorders>
              <w:top w:val="single" w:sz="4" w:space="0" w:color="auto"/>
              <w:bottom w:val="single" w:sz="4" w:space="0" w:color="auto"/>
              <w:right w:val="single" w:sz="4" w:space="0" w:color="auto"/>
            </w:tcBorders>
          </w:tcPr>
          <w:p w14:paraId="40F65210" w14:textId="4A0EF7AE" w:rsidR="005D37D2" w:rsidRDefault="008A75AE" w:rsidP="00464F92">
            <w:pPr>
              <w:spacing w:after="100"/>
              <w:ind w:left="433" w:hanging="433"/>
            </w:pPr>
            <w:r>
              <w:rPr>
                <w:b/>
                <w:bCs/>
                <w:color w:val="0432FF"/>
                <w:szCs w:val="20"/>
              </w:rPr>
              <w:t>Q4</w:t>
            </w:r>
            <w:r w:rsidR="005D37D2" w:rsidRPr="00056A4E">
              <w:rPr>
                <w:b/>
                <w:bCs/>
                <w:color w:val="0432FF"/>
                <w:szCs w:val="20"/>
              </w:rPr>
              <w:t xml:space="preserve">: </w:t>
            </w:r>
            <w:r w:rsidR="00715EEA" w:rsidRPr="00715EEA">
              <w:rPr>
                <w:color w:val="0432FF"/>
                <w:szCs w:val="20"/>
              </w:rPr>
              <w:t>Could you speak to ways in which SPDX integrates into your developer training programs?</w:t>
            </w:r>
          </w:p>
        </w:tc>
      </w:tr>
      <w:tr w:rsidR="005D37D2" w14:paraId="4E7E9C94" w14:textId="77777777" w:rsidTr="009710C6">
        <w:tc>
          <w:tcPr>
            <w:tcW w:w="1040" w:type="pct"/>
            <w:tcBorders>
              <w:top w:val="single" w:sz="4" w:space="0" w:color="auto"/>
              <w:left w:val="single" w:sz="4" w:space="0" w:color="auto"/>
            </w:tcBorders>
          </w:tcPr>
          <w:p w14:paraId="623EB60A" w14:textId="695C8D20" w:rsidR="005D37D2" w:rsidRDefault="008403F3" w:rsidP="00464F92">
            <w:pPr>
              <w:spacing w:after="100"/>
            </w:pPr>
            <w:r>
              <w:t>Engagement</w:t>
            </w:r>
          </w:p>
        </w:tc>
        <w:tc>
          <w:tcPr>
            <w:tcW w:w="3960" w:type="pct"/>
            <w:tcBorders>
              <w:top w:val="single" w:sz="4" w:space="0" w:color="auto"/>
              <w:right w:val="single" w:sz="4" w:space="0" w:color="auto"/>
            </w:tcBorders>
          </w:tcPr>
          <w:p w14:paraId="1ADA9479" w14:textId="2CE87F47" w:rsidR="005D37D2" w:rsidRPr="00296E4B" w:rsidRDefault="008A75AE" w:rsidP="00464F92">
            <w:pPr>
              <w:spacing w:after="100"/>
              <w:ind w:left="433" w:hanging="433"/>
              <w:rPr>
                <w:bCs/>
                <w:color w:val="0432FF"/>
              </w:rPr>
            </w:pPr>
            <w:r w:rsidRPr="00296E4B">
              <w:rPr>
                <w:b/>
                <w:bCs/>
                <w:color w:val="0432FF"/>
              </w:rPr>
              <w:t>Q</w:t>
            </w:r>
            <w:r w:rsidR="00296E4B">
              <w:rPr>
                <w:b/>
                <w:bCs/>
                <w:color w:val="0432FF"/>
              </w:rPr>
              <w:t>5</w:t>
            </w:r>
            <w:r w:rsidR="005D37D2" w:rsidRPr="00296E4B">
              <w:rPr>
                <w:b/>
                <w:bCs/>
                <w:color w:val="0432FF"/>
              </w:rPr>
              <w:t>:</w:t>
            </w:r>
            <w:r w:rsidR="005D37D2" w:rsidRPr="00296E4B">
              <w:rPr>
                <w:bCs/>
                <w:color w:val="0432FF"/>
              </w:rPr>
              <w:t xml:space="preserve"> </w:t>
            </w:r>
            <w:r w:rsidR="00715EEA" w:rsidRPr="00296E4B">
              <w:rPr>
                <w:bCs/>
                <w:color w:val="0432FF"/>
              </w:rPr>
              <w:t>Could you speak to ways in which your organization connects with the SPDX community and contributes to the development of the specification?</w:t>
            </w:r>
          </w:p>
        </w:tc>
      </w:tr>
      <w:tr w:rsidR="00296E4B" w14:paraId="51A166C8" w14:textId="77777777" w:rsidTr="00DC761A">
        <w:tc>
          <w:tcPr>
            <w:tcW w:w="1040" w:type="pct"/>
            <w:tcBorders>
              <w:left w:val="single" w:sz="4" w:space="0" w:color="auto"/>
            </w:tcBorders>
          </w:tcPr>
          <w:p w14:paraId="7E4616CF" w14:textId="73FC502E" w:rsidR="00296E4B" w:rsidRDefault="00296E4B" w:rsidP="00464F92">
            <w:pPr>
              <w:spacing w:after="100"/>
            </w:pPr>
            <w:r>
              <w:t>Local Impact</w:t>
            </w:r>
          </w:p>
        </w:tc>
        <w:tc>
          <w:tcPr>
            <w:tcW w:w="3960" w:type="pct"/>
            <w:tcBorders>
              <w:right w:val="single" w:sz="4" w:space="0" w:color="auto"/>
            </w:tcBorders>
          </w:tcPr>
          <w:p w14:paraId="61E60D84" w14:textId="5BEF57F4" w:rsidR="00296E4B" w:rsidRPr="008403F3" w:rsidRDefault="00BD2C93" w:rsidP="00BD2C93">
            <w:pPr>
              <w:spacing w:after="100"/>
              <w:ind w:left="433"/>
              <w:rPr>
                <w:color w:val="FF9300"/>
              </w:rPr>
            </w:pPr>
            <w:r>
              <w:rPr>
                <w:b/>
                <w:bCs/>
                <w:color w:val="FF9300"/>
                <w:szCs w:val="20"/>
              </w:rPr>
              <w:t>Q5</w:t>
            </w:r>
            <w:r w:rsidR="00296E4B">
              <w:rPr>
                <w:b/>
                <w:bCs/>
                <w:color w:val="FF9300"/>
                <w:szCs w:val="20"/>
              </w:rPr>
              <w:t>.</w:t>
            </w:r>
            <w:r>
              <w:rPr>
                <w:b/>
                <w:bCs/>
                <w:color w:val="FF9300"/>
                <w:szCs w:val="20"/>
              </w:rPr>
              <w:t>1</w:t>
            </w:r>
            <w:r w:rsidR="00296E4B" w:rsidRPr="008403F3">
              <w:rPr>
                <w:b/>
                <w:bCs/>
                <w:color w:val="FF9300"/>
                <w:szCs w:val="20"/>
              </w:rPr>
              <w:t xml:space="preserve">: </w:t>
            </w:r>
            <w:r w:rsidR="00296E4B" w:rsidRPr="00296E4B">
              <w:rPr>
                <w:color w:val="FF9300"/>
                <w:szCs w:val="20"/>
              </w:rPr>
              <w:t>Could you speak about the impact of your engagement with the SPDX community towards your OSS risk management routines?</w:t>
            </w:r>
          </w:p>
        </w:tc>
      </w:tr>
      <w:tr w:rsidR="005D37D2" w14:paraId="7B871B48" w14:textId="77777777" w:rsidTr="009710C6">
        <w:tc>
          <w:tcPr>
            <w:tcW w:w="1040" w:type="pct"/>
            <w:tcBorders>
              <w:left w:val="single" w:sz="4" w:space="0" w:color="auto"/>
              <w:bottom w:val="single" w:sz="4" w:space="0" w:color="auto"/>
            </w:tcBorders>
          </w:tcPr>
          <w:p w14:paraId="6A49C390" w14:textId="616F67C0" w:rsidR="005D37D2" w:rsidRDefault="00296E4B" w:rsidP="00464F92">
            <w:pPr>
              <w:spacing w:after="100"/>
            </w:pPr>
            <w:r>
              <w:t>Community Impact</w:t>
            </w:r>
          </w:p>
        </w:tc>
        <w:tc>
          <w:tcPr>
            <w:tcW w:w="3960" w:type="pct"/>
            <w:tcBorders>
              <w:bottom w:val="single" w:sz="4" w:space="0" w:color="auto"/>
              <w:right w:val="single" w:sz="4" w:space="0" w:color="auto"/>
            </w:tcBorders>
          </w:tcPr>
          <w:p w14:paraId="2AE05770" w14:textId="4A0D9F58" w:rsidR="005D37D2" w:rsidRPr="00296E4B" w:rsidRDefault="00BD2C93" w:rsidP="00BD2C93">
            <w:pPr>
              <w:spacing w:after="100"/>
              <w:ind w:left="433"/>
              <w:rPr>
                <w:b/>
                <w:bCs/>
                <w:color w:val="FF9300"/>
                <w:szCs w:val="20"/>
              </w:rPr>
            </w:pPr>
            <w:r>
              <w:rPr>
                <w:b/>
                <w:bCs/>
                <w:color w:val="FF9300"/>
                <w:szCs w:val="20"/>
              </w:rPr>
              <w:t>Q5.2</w:t>
            </w:r>
            <w:r w:rsidR="005D37D2" w:rsidRPr="008403F3">
              <w:rPr>
                <w:b/>
                <w:bCs/>
                <w:color w:val="FF9300"/>
                <w:szCs w:val="20"/>
              </w:rPr>
              <w:t xml:space="preserve">: </w:t>
            </w:r>
            <w:r w:rsidR="00C319BA" w:rsidRPr="00C319BA">
              <w:rPr>
                <w:bCs/>
                <w:color w:val="FF9300"/>
                <w:szCs w:val="20"/>
              </w:rPr>
              <w:t xml:space="preserve">Could you speak about the impact of your participation </w:t>
            </w:r>
            <w:r w:rsidR="00131C32" w:rsidRPr="00131C32">
              <w:rPr>
                <w:bCs/>
                <w:color w:val="FF9300"/>
                <w:szCs w:val="20"/>
              </w:rPr>
              <w:t xml:space="preserve">with the SPDX community </w:t>
            </w:r>
            <w:r w:rsidR="00C319BA" w:rsidRPr="00C319BA">
              <w:rPr>
                <w:bCs/>
                <w:color w:val="FF9300"/>
                <w:szCs w:val="20"/>
              </w:rPr>
              <w:t>towards the SPDX community?</w:t>
            </w:r>
          </w:p>
        </w:tc>
      </w:tr>
    </w:tbl>
    <w:p w14:paraId="3D538304" w14:textId="77777777" w:rsidR="00AA2005" w:rsidRDefault="00AA2005" w:rsidP="001B519D">
      <w:pPr>
        <w:rPr>
          <w:sz w:val="14"/>
        </w:rPr>
      </w:pPr>
    </w:p>
    <w:p w14:paraId="578E2216" w14:textId="77777777" w:rsidR="00AA2005" w:rsidRDefault="00AA2005" w:rsidP="001B519D">
      <w:pPr>
        <w:rPr>
          <w:sz w:val="14"/>
        </w:rPr>
      </w:pPr>
      <w:r w:rsidRPr="001B519D">
        <w:drawing>
          <wp:inline distT="0" distB="0" distL="0" distR="0" wp14:anchorId="7A299127" wp14:editId="27B288F8">
            <wp:extent cx="585216" cy="206154"/>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85595" cy="311968"/>
                    </a:xfrm>
                    <a:prstGeom prst="rect">
                      <a:avLst/>
                    </a:prstGeom>
                  </pic:spPr>
                </pic:pic>
              </a:graphicData>
            </a:graphic>
          </wp:inline>
        </w:drawing>
      </w:r>
    </w:p>
    <w:p w14:paraId="61911C2B" w14:textId="77777777" w:rsidR="00AA2005" w:rsidRDefault="001B519D" w:rsidP="001B519D">
      <w:pPr>
        <w:rPr>
          <w:sz w:val="14"/>
        </w:rPr>
      </w:pPr>
      <w:r w:rsidRPr="001B519D">
        <w:rPr>
          <w:sz w:val="14"/>
        </w:rPr>
        <w:t>©</w:t>
      </w:r>
      <w:r>
        <w:rPr>
          <w:sz w:val="14"/>
        </w:rPr>
        <w:t xml:space="preserve"> 2016-2017 by</w:t>
      </w:r>
      <w:r w:rsidRPr="001B519D">
        <w:rPr>
          <w:sz w:val="14"/>
        </w:rPr>
        <w:t xml:space="preserve"> Matt Germonprez, Robin Ghandi, and Georg</w:t>
      </w:r>
      <w:r>
        <w:rPr>
          <w:sz w:val="14"/>
        </w:rPr>
        <w:t xml:space="preserve"> J.P.</w:t>
      </w:r>
      <w:r w:rsidRPr="001B519D">
        <w:rPr>
          <w:sz w:val="14"/>
        </w:rPr>
        <w:t xml:space="preserve"> Link. </w:t>
      </w:r>
    </w:p>
    <w:p w14:paraId="74514577" w14:textId="02BE8215" w:rsidR="001B519D" w:rsidRPr="001B519D" w:rsidRDefault="001B519D" w:rsidP="001B519D">
      <w:pPr>
        <w:rPr>
          <w:noProof/>
        </w:rPr>
      </w:pPr>
      <w:r w:rsidRPr="001B519D">
        <w:rPr>
          <w:sz w:val="14"/>
        </w:rPr>
        <w:t xml:space="preserve">This work is </w:t>
      </w:r>
      <w:r>
        <w:rPr>
          <w:sz w:val="14"/>
        </w:rPr>
        <w:t xml:space="preserve">made available </w:t>
      </w:r>
      <w:r w:rsidRPr="001B519D">
        <w:rPr>
          <w:sz w:val="14"/>
        </w:rPr>
        <w:t>under</w:t>
      </w:r>
      <w:r>
        <w:rPr>
          <w:sz w:val="14"/>
        </w:rPr>
        <w:t xml:space="preserve"> a</w:t>
      </w:r>
      <w:r w:rsidRPr="001B519D">
        <w:rPr>
          <w:sz w:val="14"/>
        </w:rPr>
        <w:t xml:space="preserve"> </w:t>
      </w:r>
      <w:hyperlink r:id="rId6" w:history="1">
        <w:r w:rsidRPr="001B519D">
          <w:rPr>
            <w:rStyle w:val="Hyperlink"/>
            <w:sz w:val="14"/>
          </w:rPr>
          <w:t>Attribution 4.0 International (CC BY 4.0</w:t>
        </w:r>
        <w:r>
          <w:rPr>
            <w:rStyle w:val="Hyperlink"/>
            <w:sz w:val="14"/>
          </w:rPr>
          <w:t>) License</w:t>
        </w:r>
      </w:hyperlink>
      <w:r>
        <w:rPr>
          <w:sz w:val="14"/>
        </w:rPr>
        <w:t>.</w:t>
      </w:r>
      <w:r w:rsidRPr="001B519D">
        <w:rPr>
          <w:noProof/>
        </w:rPr>
        <w:t xml:space="preserve"> </w:t>
      </w:r>
      <w:bookmarkStart w:id="0" w:name="_GoBack"/>
      <w:bookmarkEnd w:id="0"/>
    </w:p>
    <w:sectPr w:rsidR="001B519D" w:rsidRPr="001B519D" w:rsidSect="00F673A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DQ2M7E0trS0MDM3MzZQ0lEKTi0uzszPAymwqAUA0ecmgCwAAAA="/>
  </w:docVars>
  <w:rsids>
    <w:rsidRoot w:val="00D60863"/>
    <w:rsid w:val="0002495C"/>
    <w:rsid w:val="00056A4E"/>
    <w:rsid w:val="00113426"/>
    <w:rsid w:val="00131C32"/>
    <w:rsid w:val="001B083B"/>
    <w:rsid w:val="001B519D"/>
    <w:rsid w:val="001C05AD"/>
    <w:rsid w:val="001C2974"/>
    <w:rsid w:val="00200A7E"/>
    <w:rsid w:val="00296E4B"/>
    <w:rsid w:val="002A07F5"/>
    <w:rsid w:val="002E4895"/>
    <w:rsid w:val="003002B5"/>
    <w:rsid w:val="00343517"/>
    <w:rsid w:val="003D3D32"/>
    <w:rsid w:val="00406AC1"/>
    <w:rsid w:val="0043738B"/>
    <w:rsid w:val="00442559"/>
    <w:rsid w:val="00464F92"/>
    <w:rsid w:val="004A7D69"/>
    <w:rsid w:val="004D0AB1"/>
    <w:rsid w:val="004E5905"/>
    <w:rsid w:val="005341BD"/>
    <w:rsid w:val="005419F3"/>
    <w:rsid w:val="00541CFC"/>
    <w:rsid w:val="00586030"/>
    <w:rsid w:val="005B549C"/>
    <w:rsid w:val="005D37D2"/>
    <w:rsid w:val="005E2CA0"/>
    <w:rsid w:val="005F375B"/>
    <w:rsid w:val="006157BA"/>
    <w:rsid w:val="00634638"/>
    <w:rsid w:val="006518F7"/>
    <w:rsid w:val="006701F7"/>
    <w:rsid w:val="00694BAD"/>
    <w:rsid w:val="006F0513"/>
    <w:rsid w:val="00714433"/>
    <w:rsid w:val="00715EEA"/>
    <w:rsid w:val="00791C3C"/>
    <w:rsid w:val="007D6C27"/>
    <w:rsid w:val="007E62C7"/>
    <w:rsid w:val="00804678"/>
    <w:rsid w:val="008253F5"/>
    <w:rsid w:val="008403F3"/>
    <w:rsid w:val="00856A29"/>
    <w:rsid w:val="00881A8C"/>
    <w:rsid w:val="00885078"/>
    <w:rsid w:val="008A75AE"/>
    <w:rsid w:val="009013FC"/>
    <w:rsid w:val="00967B4A"/>
    <w:rsid w:val="009710C6"/>
    <w:rsid w:val="009A346B"/>
    <w:rsid w:val="009E2BE4"/>
    <w:rsid w:val="009E66AD"/>
    <w:rsid w:val="00A40A69"/>
    <w:rsid w:val="00A52DD9"/>
    <w:rsid w:val="00A53BE9"/>
    <w:rsid w:val="00A704AB"/>
    <w:rsid w:val="00A86A34"/>
    <w:rsid w:val="00AA2005"/>
    <w:rsid w:val="00B1716D"/>
    <w:rsid w:val="00BD2C93"/>
    <w:rsid w:val="00C319BA"/>
    <w:rsid w:val="00C3457F"/>
    <w:rsid w:val="00C77748"/>
    <w:rsid w:val="00CC2BDF"/>
    <w:rsid w:val="00D0013E"/>
    <w:rsid w:val="00D60863"/>
    <w:rsid w:val="00D64584"/>
    <w:rsid w:val="00D87732"/>
    <w:rsid w:val="00E21F60"/>
    <w:rsid w:val="00E22A1C"/>
    <w:rsid w:val="00EA6CF7"/>
    <w:rsid w:val="00EB54B7"/>
    <w:rsid w:val="00EC08AB"/>
    <w:rsid w:val="00F27957"/>
    <w:rsid w:val="00F673A7"/>
    <w:rsid w:val="24275BBA"/>
    <w:rsid w:val="74A9B257"/>
    <w:rsid w:val="77C39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85742"/>
  <w15:chartTrackingRefBased/>
  <w15:docId w15:val="{D36D24FC-2D21-4BC0-B6BC-F3B590572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E4895"/>
    <w:rPr>
      <w:sz w:val="20"/>
      <w:szCs w:val="24"/>
    </w:rPr>
  </w:style>
  <w:style w:type="paragraph" w:styleId="Heading1">
    <w:name w:val="heading 1"/>
    <w:basedOn w:val="Normal"/>
    <w:next w:val="Normal"/>
    <w:link w:val="Heading1Char"/>
    <w:uiPriority w:val="9"/>
    <w:qFormat/>
    <w:rsid w:val="00967B4A"/>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967B4A"/>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967B4A"/>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967B4A"/>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967B4A"/>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967B4A"/>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967B4A"/>
    <w:pPr>
      <w:spacing w:before="240" w:after="60"/>
      <w:outlineLvl w:val="6"/>
    </w:pPr>
  </w:style>
  <w:style w:type="paragraph" w:styleId="Heading8">
    <w:name w:val="heading 8"/>
    <w:basedOn w:val="Normal"/>
    <w:next w:val="Normal"/>
    <w:link w:val="Heading8Char"/>
    <w:uiPriority w:val="9"/>
    <w:semiHidden/>
    <w:unhideWhenUsed/>
    <w:qFormat/>
    <w:rsid w:val="00967B4A"/>
    <w:pPr>
      <w:spacing w:before="240" w:after="60"/>
      <w:outlineLvl w:val="7"/>
    </w:pPr>
    <w:rPr>
      <w:i/>
      <w:iCs/>
    </w:rPr>
  </w:style>
  <w:style w:type="paragraph" w:styleId="Heading9">
    <w:name w:val="heading 9"/>
    <w:basedOn w:val="Normal"/>
    <w:next w:val="Normal"/>
    <w:link w:val="Heading9Char"/>
    <w:uiPriority w:val="9"/>
    <w:semiHidden/>
    <w:unhideWhenUsed/>
    <w:qFormat/>
    <w:rsid w:val="00967B4A"/>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B4A"/>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967B4A"/>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967B4A"/>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967B4A"/>
    <w:rPr>
      <w:b/>
      <w:bCs/>
      <w:sz w:val="28"/>
      <w:szCs w:val="28"/>
    </w:rPr>
  </w:style>
  <w:style w:type="character" w:customStyle="1" w:styleId="Heading5Char">
    <w:name w:val="Heading 5 Char"/>
    <w:basedOn w:val="DefaultParagraphFont"/>
    <w:link w:val="Heading5"/>
    <w:uiPriority w:val="9"/>
    <w:semiHidden/>
    <w:rsid w:val="00967B4A"/>
    <w:rPr>
      <w:b/>
      <w:bCs/>
      <w:i/>
      <w:iCs/>
      <w:sz w:val="26"/>
      <w:szCs w:val="26"/>
    </w:rPr>
  </w:style>
  <w:style w:type="character" w:customStyle="1" w:styleId="Heading6Char">
    <w:name w:val="Heading 6 Char"/>
    <w:basedOn w:val="DefaultParagraphFont"/>
    <w:link w:val="Heading6"/>
    <w:uiPriority w:val="9"/>
    <w:semiHidden/>
    <w:rsid w:val="00967B4A"/>
    <w:rPr>
      <w:b/>
      <w:bCs/>
    </w:rPr>
  </w:style>
  <w:style w:type="character" w:customStyle="1" w:styleId="Heading7Char">
    <w:name w:val="Heading 7 Char"/>
    <w:basedOn w:val="DefaultParagraphFont"/>
    <w:link w:val="Heading7"/>
    <w:uiPriority w:val="9"/>
    <w:semiHidden/>
    <w:rsid w:val="00967B4A"/>
    <w:rPr>
      <w:sz w:val="24"/>
      <w:szCs w:val="24"/>
    </w:rPr>
  </w:style>
  <w:style w:type="character" w:customStyle="1" w:styleId="Heading8Char">
    <w:name w:val="Heading 8 Char"/>
    <w:basedOn w:val="DefaultParagraphFont"/>
    <w:link w:val="Heading8"/>
    <w:uiPriority w:val="9"/>
    <w:semiHidden/>
    <w:rsid w:val="00967B4A"/>
    <w:rPr>
      <w:i/>
      <w:iCs/>
      <w:sz w:val="24"/>
      <w:szCs w:val="24"/>
    </w:rPr>
  </w:style>
  <w:style w:type="character" w:customStyle="1" w:styleId="Heading9Char">
    <w:name w:val="Heading 9 Char"/>
    <w:basedOn w:val="DefaultParagraphFont"/>
    <w:link w:val="Heading9"/>
    <w:uiPriority w:val="9"/>
    <w:semiHidden/>
    <w:rsid w:val="00967B4A"/>
    <w:rPr>
      <w:rFonts w:asciiTheme="majorHAnsi" w:eastAsiaTheme="majorEastAsia" w:hAnsiTheme="majorHAnsi"/>
    </w:rPr>
  </w:style>
  <w:style w:type="paragraph" w:styleId="Title">
    <w:name w:val="Title"/>
    <w:basedOn w:val="Normal"/>
    <w:next w:val="Normal"/>
    <w:link w:val="TitleChar"/>
    <w:uiPriority w:val="10"/>
    <w:qFormat/>
    <w:rsid w:val="00967B4A"/>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967B4A"/>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967B4A"/>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967B4A"/>
    <w:rPr>
      <w:rFonts w:asciiTheme="majorHAnsi" w:eastAsiaTheme="majorEastAsia" w:hAnsiTheme="majorHAnsi"/>
      <w:sz w:val="24"/>
      <w:szCs w:val="24"/>
    </w:rPr>
  </w:style>
  <w:style w:type="character" w:styleId="Strong">
    <w:name w:val="Strong"/>
    <w:basedOn w:val="DefaultParagraphFont"/>
    <w:uiPriority w:val="22"/>
    <w:qFormat/>
    <w:rsid w:val="00967B4A"/>
    <w:rPr>
      <w:b/>
      <w:bCs/>
    </w:rPr>
  </w:style>
  <w:style w:type="character" w:styleId="Emphasis">
    <w:name w:val="Emphasis"/>
    <w:basedOn w:val="DefaultParagraphFont"/>
    <w:uiPriority w:val="20"/>
    <w:qFormat/>
    <w:rsid w:val="00967B4A"/>
    <w:rPr>
      <w:rFonts w:asciiTheme="minorHAnsi" w:hAnsiTheme="minorHAnsi"/>
      <w:b/>
      <w:i/>
      <w:iCs/>
    </w:rPr>
  </w:style>
  <w:style w:type="paragraph" w:styleId="NoSpacing">
    <w:name w:val="No Spacing"/>
    <w:basedOn w:val="Normal"/>
    <w:uiPriority w:val="1"/>
    <w:qFormat/>
    <w:rsid w:val="00967B4A"/>
    <w:rPr>
      <w:szCs w:val="32"/>
    </w:rPr>
  </w:style>
  <w:style w:type="paragraph" w:styleId="ListParagraph">
    <w:name w:val="List Paragraph"/>
    <w:basedOn w:val="Normal"/>
    <w:uiPriority w:val="34"/>
    <w:qFormat/>
    <w:rsid w:val="00967B4A"/>
    <w:pPr>
      <w:ind w:left="720"/>
      <w:contextualSpacing/>
    </w:pPr>
  </w:style>
  <w:style w:type="paragraph" w:styleId="Quote">
    <w:name w:val="Quote"/>
    <w:basedOn w:val="Normal"/>
    <w:next w:val="Normal"/>
    <w:link w:val="QuoteChar"/>
    <w:uiPriority w:val="29"/>
    <w:qFormat/>
    <w:rsid w:val="00967B4A"/>
    <w:rPr>
      <w:i/>
    </w:rPr>
  </w:style>
  <w:style w:type="character" w:customStyle="1" w:styleId="QuoteChar">
    <w:name w:val="Quote Char"/>
    <w:basedOn w:val="DefaultParagraphFont"/>
    <w:link w:val="Quote"/>
    <w:uiPriority w:val="29"/>
    <w:rsid w:val="00967B4A"/>
    <w:rPr>
      <w:i/>
      <w:sz w:val="24"/>
      <w:szCs w:val="24"/>
    </w:rPr>
  </w:style>
  <w:style w:type="paragraph" w:styleId="IntenseQuote">
    <w:name w:val="Intense Quote"/>
    <w:basedOn w:val="Normal"/>
    <w:next w:val="Normal"/>
    <w:link w:val="IntenseQuoteChar"/>
    <w:uiPriority w:val="30"/>
    <w:qFormat/>
    <w:rsid w:val="00967B4A"/>
    <w:pPr>
      <w:ind w:left="720" w:right="720"/>
    </w:pPr>
    <w:rPr>
      <w:b/>
      <w:i/>
      <w:szCs w:val="22"/>
    </w:rPr>
  </w:style>
  <w:style w:type="character" w:customStyle="1" w:styleId="IntenseQuoteChar">
    <w:name w:val="Intense Quote Char"/>
    <w:basedOn w:val="DefaultParagraphFont"/>
    <w:link w:val="IntenseQuote"/>
    <w:uiPriority w:val="30"/>
    <w:rsid w:val="00967B4A"/>
    <w:rPr>
      <w:b/>
      <w:i/>
      <w:sz w:val="24"/>
    </w:rPr>
  </w:style>
  <w:style w:type="character" w:styleId="SubtleEmphasis">
    <w:name w:val="Subtle Emphasis"/>
    <w:uiPriority w:val="19"/>
    <w:qFormat/>
    <w:rsid w:val="00967B4A"/>
    <w:rPr>
      <w:i/>
      <w:color w:val="5A5A5A" w:themeColor="text1" w:themeTint="A5"/>
    </w:rPr>
  </w:style>
  <w:style w:type="character" w:styleId="IntenseEmphasis">
    <w:name w:val="Intense Emphasis"/>
    <w:basedOn w:val="DefaultParagraphFont"/>
    <w:uiPriority w:val="21"/>
    <w:qFormat/>
    <w:rsid w:val="00967B4A"/>
    <w:rPr>
      <w:b/>
      <w:i/>
      <w:sz w:val="24"/>
      <w:szCs w:val="24"/>
      <w:u w:val="single"/>
    </w:rPr>
  </w:style>
  <w:style w:type="character" w:styleId="SubtleReference">
    <w:name w:val="Subtle Reference"/>
    <w:basedOn w:val="DefaultParagraphFont"/>
    <w:uiPriority w:val="31"/>
    <w:qFormat/>
    <w:rsid w:val="00967B4A"/>
    <w:rPr>
      <w:sz w:val="24"/>
      <w:szCs w:val="24"/>
      <w:u w:val="single"/>
    </w:rPr>
  </w:style>
  <w:style w:type="character" w:styleId="IntenseReference">
    <w:name w:val="Intense Reference"/>
    <w:basedOn w:val="DefaultParagraphFont"/>
    <w:uiPriority w:val="32"/>
    <w:qFormat/>
    <w:rsid w:val="00967B4A"/>
    <w:rPr>
      <w:b/>
      <w:sz w:val="24"/>
      <w:u w:val="single"/>
    </w:rPr>
  </w:style>
  <w:style w:type="character" w:styleId="BookTitle">
    <w:name w:val="Book Title"/>
    <w:basedOn w:val="DefaultParagraphFont"/>
    <w:uiPriority w:val="33"/>
    <w:qFormat/>
    <w:rsid w:val="00967B4A"/>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967B4A"/>
    <w:pPr>
      <w:outlineLvl w:val="9"/>
    </w:pPr>
  </w:style>
  <w:style w:type="table" w:styleId="TableGrid">
    <w:name w:val="Table Grid"/>
    <w:basedOn w:val="TableNormal"/>
    <w:uiPriority w:val="39"/>
    <w:rsid w:val="00EC08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A346B"/>
    <w:rPr>
      <w:sz w:val="16"/>
      <w:szCs w:val="16"/>
    </w:rPr>
  </w:style>
  <w:style w:type="paragraph" w:styleId="CommentText">
    <w:name w:val="annotation text"/>
    <w:basedOn w:val="Normal"/>
    <w:link w:val="CommentTextChar"/>
    <w:uiPriority w:val="99"/>
    <w:semiHidden/>
    <w:unhideWhenUsed/>
    <w:rsid w:val="009A346B"/>
    <w:rPr>
      <w:szCs w:val="20"/>
    </w:rPr>
  </w:style>
  <w:style w:type="character" w:customStyle="1" w:styleId="CommentTextChar">
    <w:name w:val="Comment Text Char"/>
    <w:basedOn w:val="DefaultParagraphFont"/>
    <w:link w:val="CommentText"/>
    <w:uiPriority w:val="99"/>
    <w:semiHidden/>
    <w:rsid w:val="009A346B"/>
    <w:rPr>
      <w:sz w:val="20"/>
      <w:szCs w:val="20"/>
    </w:rPr>
  </w:style>
  <w:style w:type="paragraph" w:styleId="CommentSubject">
    <w:name w:val="annotation subject"/>
    <w:basedOn w:val="CommentText"/>
    <w:next w:val="CommentText"/>
    <w:link w:val="CommentSubjectChar"/>
    <w:uiPriority w:val="99"/>
    <w:semiHidden/>
    <w:unhideWhenUsed/>
    <w:rsid w:val="009A346B"/>
    <w:rPr>
      <w:b/>
      <w:bCs/>
    </w:rPr>
  </w:style>
  <w:style w:type="character" w:customStyle="1" w:styleId="CommentSubjectChar">
    <w:name w:val="Comment Subject Char"/>
    <w:basedOn w:val="CommentTextChar"/>
    <w:link w:val="CommentSubject"/>
    <w:uiPriority w:val="99"/>
    <w:semiHidden/>
    <w:rsid w:val="009A346B"/>
    <w:rPr>
      <w:b/>
      <w:bCs/>
      <w:sz w:val="20"/>
      <w:szCs w:val="20"/>
    </w:rPr>
  </w:style>
  <w:style w:type="paragraph" w:styleId="BalloonText">
    <w:name w:val="Balloon Text"/>
    <w:basedOn w:val="Normal"/>
    <w:link w:val="BalloonTextChar"/>
    <w:uiPriority w:val="99"/>
    <w:semiHidden/>
    <w:unhideWhenUsed/>
    <w:rsid w:val="009A34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346B"/>
    <w:rPr>
      <w:rFonts w:ascii="Segoe UI" w:hAnsi="Segoe UI" w:cs="Segoe UI"/>
      <w:sz w:val="18"/>
      <w:szCs w:val="18"/>
    </w:rPr>
  </w:style>
  <w:style w:type="character" w:styleId="Hyperlink">
    <w:name w:val="Hyperlink"/>
    <w:basedOn w:val="DefaultParagraphFont"/>
    <w:uiPriority w:val="99"/>
    <w:unhideWhenUsed/>
    <w:rsid w:val="001B519D"/>
    <w:rPr>
      <w:color w:val="0563C1" w:themeColor="hyperlink"/>
      <w:u w:val="single"/>
    </w:rPr>
  </w:style>
  <w:style w:type="character" w:styleId="Mention">
    <w:name w:val="Mention"/>
    <w:basedOn w:val="DefaultParagraphFont"/>
    <w:uiPriority w:val="99"/>
    <w:semiHidden/>
    <w:unhideWhenUsed/>
    <w:rsid w:val="001B519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1634606">
      <w:bodyDiv w:val="1"/>
      <w:marLeft w:val="0"/>
      <w:marRight w:val="0"/>
      <w:marTop w:val="0"/>
      <w:marBottom w:val="0"/>
      <w:divBdr>
        <w:top w:val="none" w:sz="0" w:space="0" w:color="auto"/>
        <w:left w:val="none" w:sz="0" w:space="0" w:color="auto"/>
        <w:bottom w:val="none" w:sz="0" w:space="0" w:color="auto"/>
        <w:right w:val="none" w:sz="0" w:space="0" w:color="auto"/>
      </w:divBdr>
    </w:div>
    <w:div w:id="179668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creativecommons.org/licenses/by/4.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98DF8-07B0-4085-A940-6786A680C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 Link</dc:creator>
  <cp:keywords/>
  <dc:description/>
  <cp:lastModifiedBy>Georg Link</cp:lastModifiedBy>
  <cp:revision>22</cp:revision>
  <dcterms:created xsi:type="dcterms:W3CDTF">2016-06-30T09:50:00Z</dcterms:created>
  <dcterms:modified xsi:type="dcterms:W3CDTF">2017-06-01T14:42:00Z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Harvard Reference format 1 (author-date)</vt:lpwstr>
  </property>
</Properties>
</file>