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right"/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ПРИЛОЖЕНИЕ №1</w:t>
      </w:r>
    </w:p>
    <w:p>
      <w:pPr>
        <w:pStyle w:val="Normal"/>
        <w:spacing w:lineRule="auto" w:line="240" w:before="0" w:after="0"/>
        <w:jc w:val="right"/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к договору № 15/14 от «20» августа 2014 г.</w:t>
      </w:r>
    </w:p>
    <w:p>
      <w:pPr>
        <w:pStyle w:val="Normal"/>
        <w:spacing w:lineRule="auto" w:line="240" w:before="0" w:after="0"/>
        <w:rPr>
          <w:rFonts w:eastAsia="Times New Roman" w:cs="Times New Roman" w:ascii="Times" w:hAnsi="Times"/>
          <w:sz w:val="20"/>
          <w:szCs w:val="20"/>
          <w:lang w:eastAsia="ru-RU"/>
        </w:rPr>
      </w:pPr>
      <w:r>
        <w:rPr>
          <w:rFonts w:eastAsia="Times New Roman" w:cs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" w:hAnsi="Times"/>
          <w:sz w:val="20"/>
          <w:szCs w:val="20"/>
          <w:lang w:eastAsia="ru-RU"/>
        </w:rPr>
      </w:pPr>
      <w:r>
        <w:rPr>
          <w:rFonts w:eastAsia="Times New Roman" w:cs="Times New Roman" w:ascii="Times" w:hAnsi="Times"/>
          <w:sz w:val="20"/>
          <w:szCs w:val="20"/>
          <w:lang w:eastAsia="ru-RU"/>
        </w:rPr>
      </w:r>
    </w:p>
    <w:p>
      <w:pPr>
        <w:pStyle w:val="Style18"/>
        <w:jc w:val="center"/>
        <w:rPr/>
      </w:pPr>
      <w:r>
        <w:rPr/>
        <w:t>Техническое задание</w:t>
      </w:r>
    </w:p>
    <w:p>
      <w:pPr>
        <w:pStyle w:val="1"/>
        <w:rPr/>
      </w:pPr>
      <w:r>
        <w:rPr/>
        <w:t>1 Описание работы по закупке</w:t>
      </w:r>
    </w:p>
    <w:p>
      <w:pPr>
        <w:pStyle w:val="Normal"/>
        <w:jc w:val="both"/>
        <w:rPr/>
      </w:pPr>
      <w:r>
        <w:rPr/>
        <w:t>Компания «Академия розничных технологий» занимается деятельностью в «</w:t>
      </w:r>
      <w:r>
        <w:rPr>
          <w:lang w:val="en-US"/>
        </w:rPr>
        <w:t>F</w:t>
      </w:r>
      <w:r>
        <w:rPr/>
        <w:t>ashion индустрии», и одним из  этапов ее деятельности является закупка товаров.</w:t>
      </w:r>
    </w:p>
    <w:p>
      <w:pPr>
        <w:pStyle w:val="Normal"/>
        <w:jc w:val="both"/>
        <w:rPr/>
      </w:pPr>
      <w:r>
        <w:rPr/>
        <w:t>Основная особенность «</w:t>
      </w:r>
      <w:r>
        <w:rPr>
          <w:lang w:val="en-US"/>
        </w:rPr>
        <w:t>F</w:t>
      </w:r>
      <w:r>
        <w:rPr/>
        <w:t xml:space="preserve">ashion индустрии» - это сезонность (Весна/Лето: 1марта – 31 августа, Осень/Зима: 1 сентября – 28 февраля), поэтому, формирование бюджета закупки магазина одежды имеет свою специфику: планирование бюджета закупки коллекций происходит еще задолго до начала периода продаж (за 6-8 месяцев) и конца текущего сезона. От предпринимателя/специалиста по закупкам требуется своевременный анализ актуального покупательского спроса и верный прогноз на будущий сезон. Представители розничных компаний выезжают в «шоу-румы» оптовых компаний и производят заказ ассортимента. </w:t>
      </w:r>
    </w:p>
    <w:p>
      <w:pPr>
        <w:pStyle w:val="Normal"/>
        <w:jc w:val="both"/>
        <w:rPr/>
      </w:pPr>
      <w:r>
        <w:rPr/>
        <w:t>Программное обеспечение необходимо для того, чтобы минимизировать число ошибок и автоматизировать процесс заказа.</w:t>
      </w:r>
    </w:p>
    <w:p>
      <w:pPr>
        <w:pStyle w:val="1"/>
        <w:rPr/>
      </w:pPr>
      <w:r>
        <w:rPr/>
        <w:t>2 Роли в системе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Руководитель/Администратор – возможность изменения классификатора, доступ к отчетам и документам, загрузки/выгрузки данных, распределение брендов для заказа по менеджерам.</w:t>
      </w:r>
    </w:p>
    <w:p>
      <w:pPr>
        <w:pStyle w:val="ListParagraph"/>
        <w:numPr>
          <w:ilvl w:val="0"/>
          <w:numId w:val="1"/>
        </w:numPr>
        <w:rPr/>
      </w:pPr>
      <w:r>
        <w:rPr/>
        <w:t>Менеджер по закупкам (менеджер) – возможность создания и заполнения заказных форм.</w:t>
      </w:r>
    </w:p>
    <w:p>
      <w:pPr>
        <w:pStyle w:val="1"/>
        <w:rPr/>
      </w:pPr>
      <w:r>
        <w:rPr/>
        <w:t>3 Описание бизнес-процессов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Перед посещением менеджеров по закупкам «шоу-румов»,  сотрудники компании формируют документ «Товарная матрица по бренду», в котором указано количество и бюджет по каждой товарной группе указанного бренда, в который необходимо вложиться менеджеру по закупкам.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Руководитель назначает менеджеров по закупке определенных брендов.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Менеджеры по закупкам приезжают в «шоу-румы» назначенных брендов.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На основании «Товарных матриц по бренду» менеджеры формируют документ «Заказная форма», в котором указывают непосредственно сами товарные позиции. Менеджер по закупкам может на месте принять решение взять больше/меньше того или иного товара и «отойти» от данных, указанных в «Товарной матрице». При добавлении новой  товарной позиции, менеджеры должны придерживаться существующего классификатора товаров.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На основании «Заказных форм», сформированных менеджерами по закупкам, руководитель строит необходимые отчеты.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4 Товарная матрица по бренду</w:t>
      </w:r>
    </w:p>
    <w:p>
      <w:pPr>
        <w:pStyle w:val="Normal"/>
        <w:jc w:val="both"/>
        <w:rPr/>
      </w:pPr>
      <w:r>
        <w:rPr/>
        <w:t xml:space="preserve">«Товарная матрица по бренду» формируется в ручную, в формате </w:t>
      </w:r>
      <w:r>
        <w:rPr>
          <w:lang w:val="en-US"/>
        </w:rPr>
        <w:t>Exel</w:t>
      </w:r>
      <w:r>
        <w:rPr/>
        <w:t>, на основе статистических данных, полученных в результате продаж и планов на будущие продажи. В данном документе указано количество и бюджет, в который необходимо уложиться каждому менеджеру по заказу по каждой товарной группе указанного бренда. Сам документ представляет собой таблицу по всем брендам. Необходимо обеспечить возможность загрузки данного документа в приложение. Структура данного документа выглядит следующим образом: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Шапка: </w:t>
      </w:r>
    </w:p>
    <w:p>
      <w:pPr>
        <w:pStyle w:val="ListParagraph"/>
        <w:numPr>
          <w:ilvl w:val="0"/>
          <w:numId w:val="4"/>
        </w:numPr>
        <w:rPr/>
      </w:pPr>
      <w:r>
        <w:rPr/>
        <w:t>Сезон (осень-зима 14/15)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Табличная часть:</w:t>
      </w:r>
    </w:p>
    <w:tbl>
      <w:tblPr>
        <w:jc w:val="left"/>
        <w:tblInd w:w="-743" w:type="dxa"/>
        <w:tblBorders>
          <w:top w:val="single" w:sz="8" w:space="0" w:color="00000A"/>
          <w:left w:val="single" w:sz="8" w:space="0" w:color="00000A"/>
          <w:bottom w:val="single" w:sz="8" w:space="0" w:color="00000A"/>
          <w:insideH w:val="single" w:sz="8" w:space="0" w:color="00000A"/>
          <w:right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50"/>
        <w:gridCol w:w="993"/>
        <w:gridCol w:w="567"/>
        <w:gridCol w:w="850"/>
        <w:gridCol w:w="992"/>
        <w:gridCol w:w="1276"/>
        <w:gridCol w:w="850"/>
        <w:gridCol w:w="1"/>
        <w:gridCol w:w="2267"/>
        <w:gridCol w:w="1134"/>
        <w:gridCol w:w="852"/>
      </w:tblGrid>
      <w:tr>
        <w:trPr>
          <w:trHeight w:val="755" w:hRule="atLeast"/>
          <w:cantSplit w:val="true"/>
        </w:trPr>
        <w:tc>
          <w:tcPr>
            <w:tcW w:w="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99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99FFCC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85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insideH w:val="single" w:sz="8" w:space="0" w:color="00000A"/>
              <w:right w:val="single" w:sz="4" w:space="0" w:color="00000A"/>
              <w:insideV w:val="single" w:sz="4" w:space="0" w:color="00000A"/>
            </w:tcBorders>
            <w:shd w:fill="FF99C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ЗАКАЗ В ЗАКУПОЧНЫХ ЦЕНАХ</w:t>
            </w:r>
          </w:p>
        </w:tc>
        <w:tc>
          <w:tcPr>
            <w:tcW w:w="311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ЗАКАЗ В РОЗНИЧНЫХ ЦЕНАХ</w:t>
            </w:r>
          </w:p>
        </w:tc>
        <w:tc>
          <w:tcPr>
            <w:tcW w:w="1134" w:type="dxa"/>
            <w:vMerge w:val="restart"/>
            <w:tcBorders>
              <w:top w:val="single" w:sz="8" w:space="0" w:color="00000A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 xml:space="preserve">Доля от общего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заказа торговой марки % (рублёвый эквивалент)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2" w:type="dxa"/>
            <w:tcBorders>
              <w:top w:val="single" w:sz="8" w:space="0" w:color="00000A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restart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Наименование магазина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99CC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Всего</w:t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цв.моделей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99CC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 xml:space="preserve">Кол-во единиц </w:t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Товара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99CC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Средняя</w:t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закупочная цена по ТМ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99CC" w:val="clear"/>
            <w:tcMar>
              <w:left w:w="98" w:type="dxa"/>
            </w:tcMar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Общая</w:t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стоимость в закупочных ценах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00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Всего</w:t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цв.моделей</w:t>
            </w:r>
          </w:p>
        </w:tc>
        <w:tc>
          <w:tcPr>
            <w:tcW w:w="2267" w:type="dxa"/>
            <w:vMerge w:val="restart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00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Общая</w:t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стоимость в розничных ценах руб.</w:t>
            </w: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cantSplit w:val="true"/>
        </w:trPr>
        <w:tc>
          <w:tcPr>
            <w:tcW w:w="1843" w:type="dxa"/>
            <w:gridSpan w:val="2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567" w:type="dxa"/>
            <w:vMerge w:val="continue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99CC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850" w:type="dxa"/>
            <w:vMerge w:val="continue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99CC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992" w:type="dxa"/>
            <w:vMerge w:val="continue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99CC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vMerge w:val="continue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99CC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851" w:type="dxa"/>
            <w:gridSpan w:val="2"/>
            <w:vMerge w:val="continue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2267" w:type="dxa"/>
            <w:vMerge w:val="continue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465" w:hRule="atLeast"/>
          <w:cantSplit w:val="false"/>
        </w:trPr>
        <w:tc>
          <w:tcPr>
            <w:tcW w:w="850" w:type="dxa"/>
            <w:vMerge w:val="restart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000000"/>
                <w:lang w:eastAsia="ru-RU"/>
              </w:rPr>
              <w:t>Торговая марка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99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FF99CC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  <w:t>104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FF99CC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  <w:t>468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FF99CC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i/>
                <w:iCs/>
                <w:color w:val="0000FF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color w:val="0000FF"/>
                <w:lang w:eastAsia="ru-RU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FF99CC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  <w:t>8 105 300,00 р.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FFFF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  <w:t>101</w:t>
            </w:r>
          </w:p>
        </w:tc>
        <w:tc>
          <w:tcPr>
            <w:tcW w:w="2268" w:type="dxa"/>
            <w:gridSpan w:val="2"/>
            <w:vMerge w:val="restart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FFFF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  <w:t xml:space="preserve">21 480 900,00 р. </w:t>
            </w: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90" w:hRule="atLeast"/>
          <w:cantSplit w:val="false"/>
        </w:trPr>
        <w:tc>
          <w:tcPr>
            <w:tcW w:w="850" w:type="dxa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993" w:type="dxa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567" w:type="dxa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r>
          </w:p>
        </w:tc>
        <w:tc>
          <w:tcPr>
            <w:tcW w:w="850" w:type="dxa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r>
          </w:p>
        </w:tc>
        <w:tc>
          <w:tcPr>
            <w:tcW w:w="992" w:type="dxa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color w:val="0000FF"/>
                <w:sz w:val="32"/>
                <w:szCs w:val="32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color w:val="0000FF"/>
                <w:sz w:val="32"/>
                <w:szCs w:val="32"/>
                <w:lang w:eastAsia="ru-RU"/>
              </w:rPr>
            </w:r>
          </w:p>
        </w:tc>
        <w:tc>
          <w:tcPr>
            <w:tcW w:w="1276" w:type="dxa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r>
          </w:p>
        </w:tc>
        <w:tc>
          <w:tcPr>
            <w:tcW w:w="850" w:type="dxa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r>
          </w:p>
        </w:tc>
        <w:tc>
          <w:tcPr>
            <w:tcW w:w="2268" w:type="dxa"/>
            <w:gridSpan w:val="2"/>
            <w:vMerge w:val="continue"/>
            <w:tcBorders>
              <w:top w:val="nil"/>
              <w:left w:val="single" w:sz="8" w:space="0" w:color="00000A"/>
              <w:bottom w:val="single" w:sz="8" w:space="0" w:color="000001"/>
              <w:insideH w:val="single" w:sz="8" w:space="0" w:color="000001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sz w:val="32"/>
                <w:szCs w:val="32"/>
                <w:lang w:eastAsia="ru-RU"/>
              </w:rPr>
            </w: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99FF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  <w:t xml:space="preserve"> €    </w:t>
            </w:r>
            <w:r>
              <w:rPr>
                <w:rFonts w:eastAsia="Times New Roman" w:cs="Arial CYR" w:ascii="Arial CYR" w:hAnsi="Arial CYR"/>
                <w:b/>
                <w:bCs/>
                <w:i/>
                <w:iCs/>
                <w:lang w:eastAsia="ru-RU"/>
              </w:rPr>
              <w:t xml:space="preserve">180 117,78 </w:t>
            </w:r>
          </w:p>
        </w:tc>
      </w:tr>
      <w:tr>
        <w:trPr>
          <w:trHeight w:val="270" w:hRule="atLeast"/>
          <w:cantSplit w:val="false"/>
        </w:trPr>
        <w:tc>
          <w:tcPr>
            <w:tcW w:w="850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C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Bogner жен.</w:t>
            </w:r>
          </w:p>
        </w:tc>
        <w:tc>
          <w:tcPr>
            <w:tcW w:w="99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C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Bogner жен.</w:t>
            </w:r>
          </w:p>
        </w:tc>
        <w:tc>
          <w:tcPr>
            <w:tcW w:w="567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C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995 680,00р.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2 987 040,00р.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C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sz w:val="20"/>
                <w:szCs w:val="20"/>
                <w:lang w:eastAsia="ru-RU"/>
              </w:rPr>
              <w:t>13,91</w:t>
            </w:r>
          </w:p>
        </w:tc>
        <w:tc>
          <w:tcPr>
            <w:tcW w:w="852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C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€                  </w:t>
            </w:r>
            <w:r>
              <w:rPr>
                <w:rFonts w:eastAsia="Times New Roman" w:cs="Arial CYR" w:ascii="Arial CYR" w:hAnsi="Arial CYR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22 126,22 </w:t>
            </w:r>
          </w:p>
        </w:tc>
      </w:tr>
      <w:tr>
        <w:trPr>
          <w:trHeight w:val="255" w:hRule="atLeast"/>
          <w:cantSplit w:val="false"/>
        </w:trPr>
        <w:tc>
          <w:tcPr>
            <w:tcW w:w="85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Брюки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</w:pPr>
            <w:r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  <w:t>8800,0р.</w:t>
            </w:r>
          </w:p>
        </w:tc>
        <w:tc>
          <w:tcPr>
            <w:tcW w:w="127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308 000,00р.</w:t>
            </w:r>
          </w:p>
        </w:tc>
        <w:tc>
          <w:tcPr>
            <w:tcW w:w="8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924 000,00р.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 €                    </w:t>
            </w: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6 844,44 </w:t>
            </w:r>
          </w:p>
        </w:tc>
      </w:tr>
      <w:tr>
        <w:trPr>
          <w:trHeight w:val="255" w:hRule="atLeast"/>
          <w:cantSplit w:val="false"/>
        </w:trPr>
        <w:tc>
          <w:tcPr>
            <w:tcW w:w="850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93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Верхняя одежда</w:t>
            </w:r>
          </w:p>
        </w:tc>
        <w:tc>
          <w:tcPr>
            <w:tcW w:w="567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</w:pPr>
            <w:r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  <w:t>25905,00р.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466 290,00р.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1 398 870,00р.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 €                  </w:t>
            </w: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10 362,00 </w:t>
            </w:r>
          </w:p>
        </w:tc>
      </w:tr>
      <w:tr>
        <w:trPr>
          <w:trHeight w:val="255" w:hRule="atLeast"/>
          <w:cantSplit w:val="false"/>
        </w:trPr>
        <w:tc>
          <w:tcPr>
            <w:tcW w:w="850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93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Головные уборы</w:t>
            </w:r>
          </w:p>
        </w:tc>
        <w:tc>
          <w:tcPr>
            <w:tcW w:w="567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</w:pPr>
            <w:r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  <w:t>3735,00р.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112 050,00р.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336 150,00р.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 €                    </w:t>
            </w: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2 490,00 </w:t>
            </w:r>
          </w:p>
        </w:tc>
      </w:tr>
      <w:tr>
        <w:trPr>
          <w:trHeight w:val="270" w:hRule="atLeast"/>
          <w:cantSplit w:val="false"/>
        </w:trPr>
        <w:tc>
          <w:tcPr>
            <w:tcW w:w="850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9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Пиджаки, блузки</w:t>
            </w:r>
          </w:p>
        </w:tc>
        <w:tc>
          <w:tcPr>
            <w:tcW w:w="567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</w:pPr>
            <w:r>
              <w:rPr>
                <w:rFonts w:eastAsia="Times New Roman" w:cs="Arial CYR" w:ascii="Arial CYR" w:hAnsi="Arial CYR"/>
                <w:sz w:val="18"/>
                <w:szCs w:val="18"/>
                <w:lang w:eastAsia="ru-RU"/>
              </w:rPr>
              <w:t>4970,00р.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109 340,00р.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  <w:t>328 020,00р.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sz w:val="20"/>
                <w:szCs w:val="20"/>
                <w:lang w:eastAsia="ru-RU"/>
              </w:rPr>
            </w:r>
          </w:p>
        </w:tc>
        <w:tc>
          <w:tcPr>
            <w:tcW w:w="852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 €                    </w:t>
            </w:r>
            <w:r>
              <w:rPr>
                <w:rFonts w:eastAsia="Times New Roman" w:cs="Arial CYR" w:ascii="Arial CYR" w:hAnsi="Arial CYR"/>
                <w:i/>
                <w:iCs/>
                <w:sz w:val="20"/>
                <w:szCs w:val="20"/>
                <w:lang w:eastAsia="ru-RU"/>
              </w:rPr>
              <w:t xml:space="preserve">2 429,78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Торговая марка</w:t>
      </w:r>
      <w:r>
        <w:rPr/>
        <w:t xml:space="preserve"> – наименование торговой марки.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 xml:space="preserve">Наименование </w:t>
      </w:r>
      <w:r>
        <w:rPr/>
        <w:t>– наименование (соответствует полю «Наименование» из классификатора).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Заказ в закупочных ценах</w:t>
      </w:r>
    </w:p>
    <w:p>
      <w:pPr>
        <w:pStyle w:val="ListParagraph"/>
        <w:numPr>
          <w:ilvl w:val="1"/>
          <w:numId w:val="5"/>
        </w:numPr>
        <w:ind w:left="720" w:right="0" w:firstLine="414"/>
        <w:rPr>
          <w:i/>
        </w:rPr>
      </w:pPr>
      <w:r>
        <w:rPr>
          <w:i/>
        </w:rPr>
        <w:t xml:space="preserve">Всего цветных моделей </w:t>
      </w:r>
    </w:p>
    <w:p>
      <w:pPr>
        <w:pStyle w:val="ListParagraph"/>
        <w:numPr>
          <w:ilvl w:val="1"/>
          <w:numId w:val="5"/>
        </w:numPr>
        <w:ind w:left="720" w:right="0" w:firstLine="414"/>
        <w:rPr>
          <w:i/>
        </w:rPr>
      </w:pPr>
      <w:r>
        <w:rPr>
          <w:i/>
        </w:rPr>
        <w:t xml:space="preserve">Количество единиц товара </w:t>
      </w:r>
    </w:p>
    <w:p>
      <w:pPr>
        <w:pStyle w:val="ListParagraph"/>
        <w:numPr>
          <w:ilvl w:val="1"/>
          <w:numId w:val="5"/>
        </w:numPr>
        <w:ind w:left="720" w:right="0" w:firstLine="414"/>
        <w:rPr>
          <w:i/>
        </w:rPr>
      </w:pPr>
      <w:r>
        <w:rPr>
          <w:i/>
        </w:rPr>
        <w:t xml:space="preserve">Средняя закупочная цена по ТМ </w:t>
      </w:r>
    </w:p>
    <w:p>
      <w:pPr>
        <w:pStyle w:val="ListParagraph"/>
        <w:numPr>
          <w:ilvl w:val="1"/>
          <w:numId w:val="5"/>
        </w:numPr>
        <w:ind w:left="720" w:right="0" w:firstLine="414"/>
        <w:rPr>
          <w:i/>
        </w:rPr>
      </w:pPr>
      <w:r>
        <w:rPr>
          <w:i/>
        </w:rPr>
        <w:t xml:space="preserve">Общая стоимость в закупочных ценах 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Заказ в розничных ценах</w:t>
      </w:r>
    </w:p>
    <w:p>
      <w:pPr>
        <w:pStyle w:val="ListParagraph"/>
        <w:numPr>
          <w:ilvl w:val="1"/>
          <w:numId w:val="5"/>
        </w:numPr>
        <w:ind w:left="720" w:right="0" w:firstLine="414"/>
        <w:rPr>
          <w:i/>
        </w:rPr>
      </w:pPr>
      <w:r>
        <w:rPr>
          <w:i/>
        </w:rPr>
        <w:t xml:space="preserve">Всего цветных моделей </w:t>
      </w:r>
    </w:p>
    <w:p>
      <w:pPr>
        <w:pStyle w:val="ListParagraph"/>
        <w:numPr>
          <w:ilvl w:val="1"/>
          <w:numId w:val="5"/>
        </w:numPr>
        <w:ind w:left="720" w:right="0" w:firstLine="414"/>
        <w:rPr>
          <w:i/>
        </w:rPr>
      </w:pPr>
      <w:r>
        <w:rPr>
          <w:i/>
        </w:rPr>
        <w:t xml:space="preserve">Общая стоимость в розничных ценах в руб.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eastAsia="Times New Roman" w:cs="Arial CYR" w:ascii="Arial CYR" w:hAnsi="Arial CYR"/>
          <w:b/>
          <w:bCs/>
          <w:sz w:val="20"/>
          <w:szCs w:val="20"/>
          <w:lang w:eastAsia="ru-RU"/>
        </w:rPr>
      </w:pPr>
      <w:r>
        <w:rPr>
          <w:rFonts w:eastAsia="Times New Roman" w:cs="Arial CYR" w:ascii="Arial CYR" w:hAnsi="Arial CYR"/>
          <w:b/>
          <w:bCs/>
          <w:sz w:val="20"/>
          <w:szCs w:val="20"/>
          <w:lang w:eastAsia="ru-RU"/>
        </w:rPr>
        <w:t>Доля от общего заказа торговой марки % (рублёвый эквивалент)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eastAsia="Times New Roman" w:cs="Arial CYR" w:ascii="Arial CYR" w:hAnsi="Arial CYR"/>
          <w:b/>
          <w:bCs/>
          <w:sz w:val="20"/>
          <w:szCs w:val="20"/>
          <w:lang w:eastAsia="ru-RU"/>
        </w:rPr>
      </w:pPr>
      <w:r>
        <w:rPr>
          <w:rFonts w:eastAsia="Times New Roman" w:cs="Arial CYR" w:ascii="Arial CYR" w:hAnsi="Arial CYR"/>
          <w:b/>
          <w:bCs/>
          <w:sz w:val="20"/>
          <w:szCs w:val="20"/>
          <w:lang w:eastAsia="ru-RU"/>
        </w:rPr>
        <w:t>Общая стоимость в валюте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5 Распределение брендов</w:t>
      </w:r>
    </w:p>
    <w:p>
      <w:pPr>
        <w:pStyle w:val="Normal"/>
        <w:jc w:val="both"/>
        <w:rPr/>
      </w:pPr>
      <w:r>
        <w:rPr/>
        <w:t>У Руководителя должна быть возможность назначения менеджеров на закупку определенных брендов.  Для этого, он должен будет указать:</w:t>
      </w:r>
    </w:p>
    <w:p>
      <w:pPr>
        <w:pStyle w:val="ListParagraph"/>
        <w:numPr>
          <w:ilvl w:val="0"/>
          <w:numId w:val="13"/>
        </w:numPr>
        <w:rPr/>
      </w:pPr>
      <w:r>
        <w:rPr/>
        <w:t>Сезон</w:t>
      </w:r>
    </w:p>
    <w:p>
      <w:pPr>
        <w:pStyle w:val="ListParagraph"/>
        <w:numPr>
          <w:ilvl w:val="0"/>
          <w:numId w:val="13"/>
        </w:numPr>
        <w:rPr/>
      </w:pPr>
      <w:r>
        <w:rPr/>
        <w:t>Сотрудника</w:t>
      </w:r>
    </w:p>
    <w:p>
      <w:pPr>
        <w:pStyle w:val="ListParagraph"/>
        <w:numPr>
          <w:ilvl w:val="0"/>
          <w:numId w:val="13"/>
        </w:numPr>
        <w:rPr/>
      </w:pPr>
      <w:r>
        <w:rPr/>
        <w:t>Список брендов</w:t>
      </w:r>
    </w:p>
    <w:p>
      <w:pPr>
        <w:pStyle w:val="Normal"/>
        <w:jc w:val="both"/>
        <w:rPr/>
      </w:pPr>
      <w:r>
        <w:rPr/>
        <w:t>После того, как руководитель распределил бренды, то менеджер после авторизации в приложении увидит ровно столько форм для заказа, сколько брендов было на него назначено. Менеджер, в свою очередь, формирует уже структуру «Заказной формы» по каждому назначенному бренду на основании «Товарной матрицы».</w:t>
      </w:r>
    </w:p>
    <w:p>
      <w:pPr>
        <w:pStyle w:val="1"/>
        <w:rPr/>
      </w:pPr>
      <w:r>
        <w:rPr/>
        <w:t xml:space="preserve"> </w:t>
      </w:r>
      <w:r>
        <w:rPr/>
        <w:t>6 Заказная форма</w:t>
      </w:r>
    </w:p>
    <w:p>
      <w:pPr>
        <w:pStyle w:val="Normal"/>
        <w:jc w:val="both"/>
        <w:rPr/>
      </w:pPr>
      <w:r>
        <w:rPr/>
        <w:t xml:space="preserve">Данный документ заполняет менеджер по закупкам, находясь в «шоу-руме».  В «Заказную форму» менеджер вносит товарные позиции, их цену и количество, которое планирует закупить. Структура документа выглядит следующим образом: </w:t>
      </w:r>
    </w:p>
    <w:p>
      <w:pPr>
        <w:pStyle w:val="Normal"/>
        <w:jc w:val="both"/>
        <w:rPr/>
      </w:pPr>
      <w:r>
        <w:rPr/>
        <w:t xml:space="preserve">Документ «Заказная форма» может состоять из нескольких таблиц. Должна быть возможность создания для каждой размерной сетки новой таблицы. 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Шапка:</w:t>
      </w:r>
    </w:p>
    <w:p>
      <w:pPr>
        <w:pStyle w:val="Normal"/>
        <w:spacing w:lineRule="auto" w:line="240" w:before="0" w:after="0"/>
        <w:rPr>
          <w:i/>
        </w:rPr>
      </w:pPr>
      <w:r>
        <w:rPr>
          <w:i/>
        </w:rPr>
        <w:t>Общие данные для всех таблиц «Заказной формы»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Бренд  (Max Mara Pre)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 xml:space="preserve">Сезон (осень-зима 14/15)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i/>
        </w:rPr>
      </w:pPr>
      <w:r>
        <w:rPr>
          <w:i/>
        </w:rPr>
        <w:t>Данные, специфичные для каждой таблицы</w:t>
      </w:r>
    </w:p>
    <w:p>
      <w:pPr>
        <w:pStyle w:val="Normal"/>
        <w:spacing w:lineRule="auto" w:line="240" w:before="0" w:after="0"/>
        <w:rPr>
          <w:i/>
        </w:rPr>
      </w:pPr>
      <w:r>
        <w:rPr>
          <w:i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/>
        <w:t>Отдел (Одежда)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/>
        <w:t>Товарная группа (Туфли, Босоножки и т.д.) – может быть указана как одна группа, так и несколько.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/>
        <w:t>Размерная сетка (указывается в ручную тип размерной сетки. В зависимости от указанного типа, меняется структура таблицы «Заказной формы» - а именно, поле «Размеры»).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Табличная часть:</w:t>
      </w:r>
    </w:p>
    <w:tbl>
      <w:tblPr>
        <w:jc w:val="left"/>
        <w:tblInd w:w="-11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38"/>
        <w:gridCol w:w="248"/>
        <w:gridCol w:w="439"/>
        <w:gridCol w:w="438"/>
        <w:gridCol w:w="438"/>
        <w:gridCol w:w="439"/>
        <w:gridCol w:w="117"/>
        <w:gridCol w:w="408"/>
        <w:gridCol w:w="1"/>
        <w:gridCol w:w="566"/>
        <w:gridCol w:w="871"/>
        <w:gridCol w:w="851"/>
        <w:gridCol w:w="850"/>
        <w:gridCol w:w="709"/>
        <w:gridCol w:w="710"/>
        <w:gridCol w:w="991"/>
        <w:gridCol w:w="850"/>
        <w:gridCol w:w="992"/>
        <w:gridCol w:w="574"/>
      </w:tblGrid>
      <w:tr>
        <w:trPr>
          <w:trHeight w:val="255" w:hRule="atLeast"/>
          <w:cantSplit w:val="false"/>
        </w:trPr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</w:r>
          </w:p>
        </w:tc>
        <w:tc>
          <w:tcPr>
            <w:tcW w:w="211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Размеры</w:t>
            </w:r>
          </w:p>
        </w:tc>
        <w:tc>
          <w:tcPr>
            <w:tcW w:w="409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964" w:type="dxa"/>
            <w:gridSpan w:val="10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right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Артикул/Цветомодель</w:t>
            </w:r>
          </w:p>
        </w:tc>
        <w:tc>
          <w:tcPr>
            <w:tcW w:w="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3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4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2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67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87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Укр. Тов. Подгруппа </w:t>
            </w:r>
          </w:p>
        </w:tc>
        <w:tc>
          <w:tcPr>
            <w:tcW w:w="85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Принадлежность</w:t>
            </w:r>
          </w:p>
        </w:tc>
        <w:tc>
          <w:tcPr>
            <w:tcW w:w="850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0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Длина, ширина</w:t>
            </w:r>
          </w:p>
        </w:tc>
        <w:tc>
          <w:tcPr>
            <w:tcW w:w="710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99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Сезонность</w:t>
            </w:r>
          </w:p>
        </w:tc>
        <w:tc>
          <w:tcPr>
            <w:tcW w:w="850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Цена ед.</w:t>
            </w:r>
          </w:p>
        </w:tc>
        <w:tc>
          <w:tcPr>
            <w:tcW w:w="99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Цена закупочная итог</w:t>
            </w:r>
          </w:p>
        </w:tc>
        <w:tc>
          <w:tcPr>
            <w:tcW w:w="57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Курс</w:t>
            </w:r>
          </w:p>
        </w:tc>
      </w:tr>
      <w:tr>
        <w:trPr>
          <w:trHeight w:val="255" w:hRule="atLeast"/>
          <w:cantSplit w:val="false"/>
        </w:trPr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scrigno</w:t>
            </w:r>
          </w:p>
        </w:tc>
        <w:tc>
          <w:tcPr>
            <w:tcW w:w="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Плечевая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Миди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т сер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Осень/Зима 2015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144,40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577,60 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48</w:t>
            </w:r>
          </w:p>
        </w:tc>
      </w:tr>
      <w:tr>
        <w:trPr>
          <w:trHeight w:val="255" w:hRule="atLeast"/>
          <w:cantSplit w:val="false"/>
        </w:trPr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fiamma</w:t>
            </w:r>
          </w:p>
        </w:tc>
        <w:tc>
          <w:tcPr>
            <w:tcW w:w="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Плечевая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голуб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Осень/Зима 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144,70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578,80 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48</w:t>
            </w:r>
          </w:p>
        </w:tc>
      </w:tr>
      <w:tr>
        <w:trPr>
          <w:trHeight w:val="255" w:hRule="atLeast"/>
          <w:cantSplit w:val="false"/>
        </w:trPr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cresta</w:t>
            </w:r>
          </w:p>
        </w:tc>
        <w:tc>
          <w:tcPr>
            <w:tcW w:w="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Плечевая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черн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Осень/Зима 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139,50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418,50 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48</w:t>
            </w:r>
          </w:p>
        </w:tc>
      </w:tr>
      <w:tr>
        <w:trPr>
          <w:trHeight w:val="255" w:hRule="atLeast"/>
          <w:cantSplit w:val="false"/>
        </w:trPr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urbania</w:t>
            </w:r>
          </w:p>
        </w:tc>
        <w:tc>
          <w:tcPr>
            <w:tcW w:w="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Плечевая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Платье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зеленое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Осень/Зима 2018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170,80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€      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683,20 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48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b/>
        </w:rPr>
        <w:t>Артикул/Цветомодель</w:t>
      </w:r>
      <w:r>
        <w:rPr/>
        <w:t xml:space="preserve"> – менеджер вводит в ручную название артикула/цветомодели. Цветомодель – это артикул в одном цвете.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b/>
        </w:rPr>
        <w:t>Размеры</w:t>
      </w:r>
      <w:r>
        <w:rPr/>
        <w:t xml:space="preserve"> – отображаются те размеры, которые соответствуют  выбранной размерной сетке. Менеджер в ручную будет указывать количество закупаемых товаров по каждому размеру.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b/>
        </w:rPr>
        <w:t xml:space="preserve">Количество </w:t>
      </w:r>
      <w:r>
        <w:rPr/>
        <w:t>– автоматически должно расчитываться  общее количество по строке размеров.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Укр</w:t>
      </w:r>
      <w:r>
        <w:rPr/>
        <w:t xml:space="preserve">. </w:t>
      </w:r>
      <w:r>
        <w:rPr>
          <w:b/>
        </w:rPr>
        <w:t xml:space="preserve">товарная подгруппа – </w:t>
      </w:r>
      <w:r>
        <w:rPr/>
        <w:t>выбор из списка.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b/>
        </w:rPr>
        <w:t xml:space="preserve">Принадлежность </w:t>
      </w:r>
      <w:r>
        <w:rPr/>
        <w:t>– выбор из списка, с возможностью добавления новых позиций.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b/>
        </w:rPr>
        <w:t xml:space="preserve">Наименование </w:t>
      </w:r>
      <w:r>
        <w:rPr/>
        <w:t>– выбор из списка, с возможностью добавления новых позиций.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 xml:space="preserve">Длина, ширина </w:t>
      </w:r>
      <w:r>
        <w:rPr/>
        <w:t>– ручной ввод.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 xml:space="preserve">Цвет </w:t>
      </w:r>
      <w:r>
        <w:rPr/>
        <w:t>– выбор из списка с возможностью добавления новых позиций.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 xml:space="preserve">Сезонность </w:t>
      </w:r>
      <w:r>
        <w:rPr/>
        <w:t>– автоматическое заполнение из поля «Сезон» шапки таблицы.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>Цена ед</w:t>
      </w:r>
      <w:r>
        <w:rPr/>
        <w:t>. – ручной ввод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 xml:space="preserve">Цена закупочная итог </w:t>
      </w:r>
      <w:r>
        <w:rPr/>
        <w:t>– автоматический расчет «Количество» * «Цена ед.» 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</w:rPr>
        <w:t xml:space="preserve">Курс </w:t>
      </w:r>
      <w:r>
        <w:rPr/>
        <w:t>– менеджер в ручную указывает курс валюты.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7 Отчеты</w:t>
      </w:r>
    </w:p>
    <w:p>
      <w:pPr>
        <w:pStyle w:val="Normal"/>
        <w:rPr/>
      </w:pPr>
      <w:r>
        <w:rPr/>
        <w:t xml:space="preserve">На основе заказных форм и товарных матриц  должна быть возможность построить следующие отчеты. </w:t>
      </w:r>
    </w:p>
    <w:p>
      <w:pPr>
        <w:pStyle w:val="Normal"/>
        <w:jc w:val="both"/>
        <w:rPr/>
      </w:pPr>
      <w:r>
        <w:rPr/>
        <w:t>1. Отчёт, объединяющий всю информацию по уровням классификатора (одежда, обувь, аксессуары, подгруппы, наименования и т.д. и сравнение с запланированным бюджетом). То есть, пользователь может выбирать Отдел, Товарную группу, Укрупненную товарную подгруппу или их комбинации и посмотреть сумму запланированного бюджета и сумму заказа.</w:t>
      </w:r>
    </w:p>
    <w:p>
      <w:pPr>
        <w:pStyle w:val="Normal"/>
        <w:jc w:val="both"/>
        <w:rPr/>
      </w:pPr>
      <w:r>
        <w:rPr/>
        <w:t>1.1. Цветомодели, единицы заказанного ассортимента и сумма заказа.</w:t>
      </w:r>
    </w:p>
    <w:p>
      <w:pPr>
        <w:pStyle w:val="Normal"/>
        <w:jc w:val="both"/>
        <w:rPr/>
      </w:pPr>
      <w:r>
        <w:rPr/>
        <w:t>2. Отчёт, объединяющий всю информацию по торговым маркам (бюджет каждой торговой марки и сравнение с запланированным бюджетом)</w:t>
      </w:r>
    </w:p>
    <w:p>
      <w:pPr>
        <w:pStyle w:val="Normal"/>
        <w:jc w:val="both"/>
        <w:rPr/>
      </w:pPr>
      <w:r>
        <w:rPr/>
        <w:t>2.1. Цветомодели, единицы заказанного ассортимента и сумма заказа.</w:t>
      </w:r>
    </w:p>
    <w:p>
      <w:pPr>
        <w:pStyle w:val="Normal"/>
        <w:jc w:val="both"/>
        <w:rPr/>
      </w:pPr>
      <w:r>
        <w:rPr/>
        <w:t>3. Графики, показывающие наглядно распределение бюджета по уровням классификатора.</w:t>
      </w:r>
    </w:p>
    <w:p>
      <w:pPr>
        <w:pStyle w:val="Normal"/>
        <w:rPr/>
      </w:pPr>
      <w:r>
        <w:rPr/>
        <w:t xml:space="preserve">Должна быть возможность графического представления каждого отчета, а также возможность выгрузки любого отчета в формате </w:t>
      </w:r>
      <w:r>
        <w:rPr>
          <w:lang w:val="en-US"/>
        </w:rPr>
        <w:t>Exel</w:t>
      </w:r>
      <w:r>
        <w:rPr/>
        <w:t>.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 xml:space="preserve">8 Классификатор 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Классификатор товаров</w:t>
      </w:r>
    </w:p>
    <w:p>
      <w:pPr>
        <w:pStyle w:val="Normal"/>
        <w:jc w:val="both"/>
        <w:rPr/>
      </w:pPr>
      <w:r>
        <w:rPr/>
        <w:t>В системе необходимо создать «Классификатор товаров».  Он должен состоять из двух типов: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Статический – заданный изначально в системе.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Динамический – данные можно будет как выбрать из существующего списка, так и добавить новые.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Структура классификатора:</w:t>
      </w:r>
    </w:p>
    <w:p>
      <w:pPr>
        <w:pStyle w:val="ListParagraph"/>
        <w:rPr>
          <w:i/>
        </w:rPr>
      </w:pPr>
      <w:r>
        <w:rPr>
          <w:i/>
        </w:rPr>
        <w:t>Поля статического типа:</w:t>
      </w:r>
    </w:p>
    <w:p>
      <w:pPr>
        <w:pStyle w:val="ListParagraph"/>
        <w:numPr>
          <w:ilvl w:val="0"/>
          <w:numId w:val="3"/>
        </w:numPr>
        <w:rPr/>
      </w:pPr>
      <w:r>
        <w:rPr/>
        <w:t>Отдел (обувь, одежда, аксессуары)</w:t>
      </w:r>
    </w:p>
    <w:p>
      <w:pPr>
        <w:pStyle w:val="ListParagraph"/>
        <w:numPr>
          <w:ilvl w:val="0"/>
          <w:numId w:val="3"/>
        </w:numPr>
        <w:rPr/>
      </w:pPr>
      <w:r>
        <w:rPr/>
        <w:t>Товарная группа (женская обувь, мужская обувь, женская одежда, мужская одежда и др.)</w:t>
      </w:r>
    </w:p>
    <w:p>
      <w:pPr>
        <w:pStyle w:val="ListParagraph"/>
        <w:numPr>
          <w:ilvl w:val="0"/>
          <w:numId w:val="3"/>
        </w:numPr>
        <w:rPr/>
      </w:pPr>
      <w:r>
        <w:rPr/>
        <w:t>Укрупненная товарная подгруппа (сапоги, ботинки, верхняя одежда, шорты и др.)</w:t>
      </w:r>
    </w:p>
    <w:p>
      <w:pPr>
        <w:pStyle w:val="ListParagraph"/>
        <w:numPr>
          <w:ilvl w:val="0"/>
          <w:numId w:val="3"/>
        </w:numPr>
        <w:rPr/>
      </w:pPr>
      <w:r>
        <w:rPr/>
        <w:t>Товарная подгруппа (сапоги, полусапоги, куртка, пальто и др.)</w:t>
      </w:r>
    </w:p>
    <w:p>
      <w:pPr>
        <w:pStyle w:val="ListParagraph"/>
        <w:rPr>
          <w:i/>
        </w:rPr>
      </w:pPr>
      <w:r>
        <w:rPr>
          <w:i/>
        </w:rPr>
      </w:r>
    </w:p>
    <w:p>
      <w:pPr>
        <w:pStyle w:val="ListParagraph"/>
        <w:rPr>
          <w:i/>
        </w:rPr>
      </w:pPr>
      <w:r>
        <w:rPr>
          <w:i/>
        </w:rPr>
        <w:t>Поля динамического типа:</w:t>
      </w:r>
    </w:p>
    <w:p>
      <w:pPr>
        <w:pStyle w:val="ListParagraph"/>
        <w:numPr>
          <w:ilvl w:val="0"/>
          <w:numId w:val="8"/>
        </w:numPr>
        <w:rPr/>
      </w:pPr>
      <w:r>
        <w:rPr/>
        <w:t>Наименование (сапоги зимние с мехом, ботинки осенние и др.)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Сезон </w:t>
      </w:r>
    </w:p>
    <w:p>
      <w:pPr>
        <w:pStyle w:val="ListParagraph"/>
        <w:numPr>
          <w:ilvl w:val="0"/>
          <w:numId w:val="8"/>
        </w:numPr>
        <w:rPr/>
      </w:pPr>
      <w:r>
        <w:rPr/>
        <w:t>Дополнительные параметры (высота каблука,  закрытый / открытый носок)</w:t>
      </w:r>
    </w:p>
    <w:p>
      <w:pPr>
        <w:pStyle w:val="ListParagraph"/>
        <w:numPr>
          <w:ilvl w:val="0"/>
          <w:numId w:val="8"/>
        </w:numPr>
        <w:rPr/>
      </w:pPr>
      <w:r>
        <w:rPr/>
        <w:t>Торговая марка (</w:t>
      </w:r>
      <w:r>
        <w:rPr>
          <w:lang w:val="en-US"/>
        </w:rPr>
        <w:t>Versace</w:t>
      </w:r>
      <w:r>
        <w:rPr/>
        <w:t xml:space="preserve"> </w:t>
      </w:r>
      <w:r>
        <w:rPr>
          <w:lang w:val="en-US"/>
        </w:rPr>
        <w:t>Collection</w:t>
      </w:r>
      <w:r>
        <w:rPr/>
        <w:t xml:space="preserve">, </w:t>
      </w:r>
      <w:r>
        <w:rPr>
          <w:lang w:val="en-US"/>
        </w:rPr>
        <w:t>Moncler</w:t>
      </w:r>
      <w:r>
        <w:rPr/>
        <w:t xml:space="preserve">  жен./ муж. и др.)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Артикул (scrigno, fiamma и др.) </w:t>
      </w:r>
    </w:p>
    <w:p>
      <w:pPr>
        <w:pStyle w:val="ListParagraph"/>
        <w:numPr>
          <w:ilvl w:val="0"/>
          <w:numId w:val="8"/>
        </w:numPr>
        <w:rPr/>
      </w:pPr>
      <w:r>
        <w:rPr/>
        <w:t>Цвет (черный, принт, т.серый и др.)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Размер (34, 38, 40, </w:t>
      </w:r>
      <w:r>
        <w:rPr>
          <w:lang w:val="en-US"/>
        </w:rPr>
        <w:t>s</w:t>
      </w:r>
      <w:r>
        <w:rPr/>
        <w:t xml:space="preserve">, </w:t>
      </w:r>
      <w:r>
        <w:rPr>
          <w:lang w:val="en-US"/>
        </w:rPr>
        <w:t>m</w:t>
      </w:r>
      <w:r>
        <w:rPr/>
        <w:t xml:space="preserve">, </w:t>
      </w:r>
      <w:r>
        <w:rPr>
          <w:lang w:val="en-US"/>
        </w:rPr>
        <w:t>l</w:t>
      </w:r>
      <w:r>
        <w:rPr/>
        <w:t xml:space="preserve"> и др.)</w:t>
      </w:r>
    </w:p>
    <w:p>
      <w:pPr>
        <w:pStyle w:val="ListParagraph"/>
        <w:numPr>
          <w:ilvl w:val="0"/>
          <w:numId w:val="8"/>
        </w:numPr>
        <w:rPr/>
      </w:pPr>
      <w:r>
        <w:rPr/>
        <w:t>Состав (хлопок, лен и др.)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Справочник размерных сеток</w:t>
      </w:r>
    </w:p>
    <w:p>
      <w:pPr>
        <w:pStyle w:val="Normal"/>
        <w:rPr/>
      </w:pPr>
      <w:r>
        <w:rPr/>
        <w:t>В данном справочнике должно быть:</w:t>
      </w:r>
    </w:p>
    <w:p>
      <w:pPr>
        <w:pStyle w:val="ListParagraph"/>
        <w:numPr>
          <w:ilvl w:val="0"/>
          <w:numId w:val="11"/>
        </w:numPr>
        <w:rPr/>
      </w:pPr>
      <w:r>
        <w:rPr/>
        <w:t>Наименование размерной сетки</w:t>
      </w:r>
    </w:p>
    <w:p>
      <w:pPr>
        <w:pStyle w:val="ListParagraph"/>
        <w:numPr>
          <w:ilvl w:val="0"/>
          <w:numId w:val="11"/>
        </w:numPr>
        <w:rPr/>
      </w:pPr>
      <w:r>
        <w:rPr/>
        <w:t>Размерный ряд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Справочник сотрудников</w:t>
      </w:r>
    </w:p>
    <w:p>
      <w:pPr>
        <w:pStyle w:val="Normal"/>
        <w:rPr/>
      </w:pPr>
      <w:r>
        <w:rPr/>
        <w:t>Справочник сотрудников должен состоять из следующих полей:</w:t>
      </w:r>
    </w:p>
    <w:p>
      <w:pPr>
        <w:pStyle w:val="ListParagraph"/>
        <w:numPr>
          <w:ilvl w:val="0"/>
          <w:numId w:val="12"/>
        </w:numPr>
        <w:rPr/>
      </w:pPr>
      <w:r>
        <w:rPr/>
        <w:t>ФИО сотрудника</w:t>
      </w:r>
    </w:p>
    <w:p>
      <w:pPr>
        <w:pStyle w:val="ListParagraph"/>
        <w:numPr>
          <w:ilvl w:val="0"/>
          <w:numId w:val="12"/>
        </w:numPr>
        <w:rPr/>
      </w:pPr>
      <w:r>
        <w:rPr/>
        <w:t>Должность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W w:w="9355" w:type="dxa"/>
        <w:jc w:val="left"/>
        <w:tblInd w:w="9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145"/>
        <w:gridCol w:w="4209"/>
      </w:tblGrid>
      <w:tr>
        <w:trPr>
          <w:trHeight w:val="2325" w:hRule="atLeast"/>
          <w:cantSplit w:val="false"/>
        </w:trPr>
        <w:tc>
          <w:tcPr>
            <w:tcW w:w="5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>Подписи сторон:                                 </w:t>
              <w:tab/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>ИСПОЛНИТЕЛЬ: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>            </w:t>
            </w: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>_____________/ Соколов А.А. /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 xml:space="preserve">М.П. 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>ЗАКАЗЧИК: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 xml:space="preserve">___________/ Вешнякова Ю.А. / 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</w:pPr>
            <w:r>
              <w:rPr>
                <w:rFonts w:cs="Arial" w:ascii="Arial" w:hAnsi="Arial"/>
                <w:color w:val="434343"/>
                <w:sz w:val="23"/>
                <w:szCs w:val="23"/>
                <w:lang w:eastAsia="ru-RU"/>
              </w:rPr>
              <w:t>М.П.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 CYR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ru-RU" w:eastAsia="en-US" w:bidi="ar-SA"/>
    </w:rPr>
  </w:style>
  <w:style w:type="paragraph" w:styleId="1">
    <w:name w:val="Заголовок 1"/>
    <w:uiPriority w:val="9"/>
    <w:qFormat/>
    <w:link w:val="10"/>
    <w:rsid w:val="001f4502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2">
    <w:name w:val="Заголовок 2"/>
    <w:uiPriority w:val="9"/>
    <w:qFormat/>
    <w:unhideWhenUsed/>
    <w:link w:val="20"/>
    <w:rsid w:val="00051330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Название Знак"/>
    <w:uiPriority w:val="10"/>
    <w:link w:val="a3"/>
    <w:rsid w:val="00767fb4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11" w:customStyle="1">
    <w:name w:val="Заголовок 1 Знак"/>
    <w:uiPriority w:val="9"/>
    <w:link w:val="1"/>
    <w:rsid w:val="001f450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link w:val="2"/>
    <w:rsid w:val="00051330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Appletabspan" w:customStyle="1">
    <w:name w:val="apple-tab-span"/>
    <w:rsid w:val="00004d7f"/>
    <w:basedOn w:val="DefaultParagraphFont"/>
    <w:rPr/>
  </w:style>
  <w:style w:type="character" w:styleId="ListLabel1">
    <w:name w:val="ListLabel 1"/>
    <w:rPr>
      <w:b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Mangal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Mangal"/>
    </w:rPr>
  </w:style>
  <w:style w:type="paragraph" w:styleId="Style18">
    <w:name w:val="Заглавие"/>
    <w:uiPriority w:val="10"/>
    <w:qFormat/>
    <w:link w:val="a4"/>
    <w:rsid w:val="00767fb4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  <w:jc w:val="left"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1f4502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uiPriority w:val="99"/>
    <w:unhideWhenUsed/>
    <w:rsid w:val="00004d7f"/>
    <w:basedOn w:val="Normal"/>
    <w:pPr>
      <w:spacing w:before="0" w:after="280"/>
    </w:pPr>
    <w:rPr>
      <w:rFonts w:ascii="Times" w:hAnsi="Times" w:cs="Times New Roman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2014-07-31T11:02:00Z</dcterms:created>
  <dc:creator>RePack by Diakov</dc:creator>
  <dc:language>ru-RU</dc:language>
  <cp:lastModifiedBy>Anton Sokolov</cp:lastModifiedBy>
  <cp:lastPrinted>2014-08-14T11:33:00Z</cp:lastPrinted>
  <dcterms:modified xsi:type="dcterms:W3CDTF">2014-08-20T08:14:00Z</dcterms:modified>
  <cp:revision>40</cp:revision>
</cp:coreProperties>
</file>