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Reviewers' Comments to Author:</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Reviewer: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Comments to the Author</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This manuscript presents bioETH-PRS, a privacy-preserving framework for polygenic risk score computation using fully homomorphic encryption on a programmable blockchain. The central idea is to replace the trusted evaluator used in prior encrypted PRS pipelines with auditable smart contracts, while protecting both patient genotypes and GWAS model weights. The manuscript is timely and conceptually interesting, particularly at the intersection of genomic privacy, encrypted computation, and decentralized infrastructure. However, the current evidence remains largely proof-of-concept, and several claims about deployability, privacy guarantees, and clinical feasibility are not yet fully supported.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1. The empirical evaluation relies heavily on a mock coprocessor environment. The reported gas consumption, HCU budget, latency, and protocol behavior are mainly evaluated using a Hardhat in-process mock coprocessor rather than a real fhEVM deployment or public testnet. This substantially weakens the deployment claims. The authors should either provide real-network validation or clearly frame these results as simulation-based estimates.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2. The privacy claims should be stated more cautiously. The manuscript argues that bioETH-PRS removes the trusted evaluator assumption. This is a meaningful architectural contribution, but the system still depends on the correctness and availability of the fhEVM stack, smart contracts, ACL/decryption infrastructure, and blockchain consensus. Terms such as “zero trust” or “trustless” should be softened or carefully qualified.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3. The noisy output oracle does not provide formal differential privacy. The authors acknowledge that the current mechanism is DP-inspired rather than a calibrated (epsilon, delta)-differential privacy guarantee. Given the sensitivity of genomic data, this limitation should be emphasized more prominently. If the authors wish to retain strong privacy language, they should provide a formal adjacency definition, sensitivity analysis, and privacy-parameter calibration.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4. The manuscript estimates that model extraction would require thousands of hours under recommended rate-limiting settings. However, this calculation appears heuristic and does not fully address adaptive querying, multiple-wallet attacks, threshold manipulation, correlated SNP structure, or cross-sample probing. A stronger adversarial analysis is needed before the anti-probing claims can be considered established.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5. The inability to verify submitted encrypted SNPs is a major unresolved security issue. The system verifies access to a registered sample but cannot confirm that the submitted encrypted SNP values faithfully represent that sample. This allows malicious users to submit crafted inputs, which directly affects model-probing and misuse risks. This issue should be moved from a limitation to the main security discussion.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6. The prototype is evaluated on 100-5,000 SNP fixtures, whereas many PRS models contain tens of thousands to millions of variants. The authors should more clearly define the intended use case, such as curated small-panel PRS models, and avoid implying general applicability to large-scale clinical PRS deployment.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7. bioETH-PRS improves the trust model by removing the designated evaluator, but HEPRS supports much larger SNP counts and has different computational advantages. The manuscript should separate claims about privacy architecture, scalability, latency, memory use, and deployment assumptions rather than presenting bioETH-PRS as broadly superior.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8. The cost projections depend on L2-equivalent or application-chain gas pricing and are not based on measured production deployment. Claims that the system may be clinically or commercially practical should be toned down unless supported by real deployment data.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Reviewer: 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Comments to the Author</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This manuscript presents bioETH-PRS, a blockchain-based protocol for privacy-preserving polygenic risk scoring (PRS) using TFHE/fhEVM smart contracts. The paper’s main claim is that it removes the need for a trusted evaluator found in prior homomorphic-encryption PRS pipelines by moving orchestration to auditable on-chain contracts. Overall, the paper tries to addresses an important problem at the intersection of genomics, privacy, and decentralized computation. The manuscript is interesting and original. However, I do have several comments.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1. bioETH-PRS was evaluated only on 100-5000 SNPs, while a real PRS in practice can involve far larger number of SNPs. Although the authors acknowledged that the HCU budget and transaction count made the genome-wide model impractical on current infrastructure. This is still a serious limitation because the method may only apply to a narrow class of PRS models with limited number of SNPs.</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2. Does bioETH-PRS require quality control of the genotype data, like missing value, minor allele frequency, etc? Please clarify this in the manuscript.</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3. For some cases, the genotype of a SNP may be coded as 0, 1, 2 in terms of the number of risk alleles; but during the weights derivation, the genotype of that SNP in an independent dataset may be coded as 2, 1, 0 in terms of the number of minor alleles (when the risk allele is not the minor allele). Although we can require the genotype and the weights are provided with consistent coding, how to validate this requirement when they are totally blinded to each other? How does bioETH-PRS handle such situation?</w:t>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4. How and who to guarantee the final PRS provided by bioETH-PRS is correctly computed? In other words, the bioETH-PRS will eventually provide some numbers. But how do I know I can trust these numbers?</w:t>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5. The original PRS calculation is simple and easy to understand/interpret, which is a weighted sum of multiple SNPs. The PRS calculation by bioETH-PRS seems more complicated with certain black boxes. Could the authors comment on that?</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6. If I need double programming or independent validation of the final calculated PRS, could bioETH-PRS incorporate this?</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7. In the Empirical Evaluation section, I was expecting to see that the individual PRS calculated by bioETH-PRS is consistent with the PRS calculated from Equation 1. Could the authors provide that information?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Editor's Comments to Author:</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Editor</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Comments to the Author:</w:t>
      </w:r>
    </w:p>
    <w:p w:rsidR="00000000" w:rsidDel="00000000" w:rsidP="00000000" w:rsidRDefault="00000000" w:rsidRPr="00000000" w14:paraId="00000028">
      <w:pPr>
        <w:rPr/>
      </w:pPr>
      <w:r w:rsidDel="00000000" w:rsidR="00000000" w:rsidRPr="00000000">
        <w:rPr>
          <w:color w:val="222222"/>
          <w:highlight w:val="white"/>
          <w:rtl w:val="0"/>
        </w:rPr>
        <w:t xml:space="preserve">(There are no comments.)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