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FoG-STAR 冻结步态检测</w:t>
        <w:br/>
        <w:t>最终技术方案与确认性实验报告</w:t>
      </w:r>
    </w:p>
    <w:p>
      <w:pPr>
        <w:jc w:val="center"/>
      </w:pPr>
      <w:r>
        <w:rPr>
          <w:b/>
          <w:sz w:val="28"/>
        </w:rPr>
        <w:t>ACTE-FoG：Ankle-Coordination Temporal Ensemble</w:t>
      </w:r>
    </w:p>
    <w:p/>
    <w:p/>
    <w:p/>
    <w:p>
      <w:pPr>
        <w:jc w:val="center"/>
      </w:pPr>
      <w:r>
        <w:rPr>
          <w:sz w:val="24"/>
        </w:rPr>
        <w:t>基于 FoG-STAR v3.0 的患者独立实验</w:t>
      </w:r>
    </w:p>
    <w:p>
      <w:pPr>
        <w:jc w:val="center"/>
      </w:pPr>
      <w:r>
        <w:rPr>
          <w:sz w:val="22"/>
        </w:rPr>
        <w:t>实验日期：2026年9月</w:t>
      </w:r>
    </w:p>
    <w:p>
      <w:r>
        <w:br w:type="page"/>
      </w:r>
    </w:p>
    <w:p>
      <w:pPr>
        <w:pStyle w:val="Heading1"/>
      </w:pPr>
      <w:r>
        <w:t>1. 结论摘要</w:t>
      </w:r>
    </w:p>
    <w:p>
      <w:r>
        <w:t>本项目基于 FoG-STAR v3.0 真实数据完成了数据审计、公开 1D-CNN 强基线复现、跨部位信息探针、短时序上下文实验、随机种子稳定性验证以及患者级 LOSO 内部确认性实验。综合各轮结果后，最终模型冻结为 ACTE-FoG。</w:t>
      </w:r>
    </w:p>
    <w:p>
      <w:r>
        <w:t>最终有效路线不是将 24 路原始 IMU 信号直接堆叠进入更大的深度网络，而是采用“</w:t>
      </w:r>
      <w:r>
        <w:rPr>
          <w:b/>
        </w:rPr>
        <w:t>双踝主导表征 + 全身协调摘要 + 缺失感知 + 集成分类 + 短时序概率解码</w:t>
      </w:r>
      <w:r>
        <w:t>”的层级结构。该方案更符合 FoG 的运动学特征，也在当前 22 例患者规模下表现出更好的稳定性和可解释性。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381"/>
            <w:shd w:fill="E7E6E6"/>
            <w:vAlign w:val="center"/>
          </w:tcPr>
          <w:p>
            <w:r>
              <w:rPr>
                <w:b/>
              </w:rPr>
              <w:t>评价协议</w:t>
            </w:r>
          </w:p>
        </w:tc>
        <w:tc>
          <w:tcPr>
            <w:tcW w:type="dxa" w:w="1701"/>
            <w:shd w:fill="E7E6E6"/>
            <w:vAlign w:val="center"/>
          </w:tcPr>
          <w:p>
            <w:r>
              <w:rPr>
                <w:b/>
              </w:rPr>
              <w:t>AUROC</w:t>
            </w:r>
          </w:p>
        </w:tc>
        <w:tc>
          <w:tcPr>
            <w:tcW w:type="dxa" w:w="1701"/>
            <w:shd w:fill="E7E6E6"/>
            <w:vAlign w:val="center"/>
          </w:tcPr>
          <w:p>
            <w:r>
              <w:rPr>
                <w:b/>
              </w:rPr>
              <w:t>AUPRC</w:t>
            </w:r>
          </w:p>
        </w:tc>
        <w:tc>
          <w:tcPr>
            <w:tcW w:type="dxa" w:w="3402"/>
            <w:shd w:fill="E7E6E6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r>
              <w:t>固定 11/5/6，5 seeds</w:t>
            </w:r>
          </w:p>
        </w:tc>
        <w:tc>
          <w:tcPr>
            <w:tcW w:type="dxa" w:w="1701"/>
            <w:vAlign w:val="center"/>
          </w:tcPr>
          <w:p>
            <w:r>
              <w:t>0.9318 ± 0.0003</w:t>
            </w:r>
          </w:p>
        </w:tc>
        <w:tc>
          <w:tcPr>
            <w:tcW w:type="dxa" w:w="1701"/>
            <w:vAlign w:val="center"/>
          </w:tcPr>
          <w:p>
            <w:r>
              <w:t>0.7735 ± 0.0021</w:t>
            </w:r>
          </w:p>
        </w:tc>
        <w:tc>
          <w:tcPr>
            <w:tcW w:type="dxa" w:w="3402"/>
            <w:vAlign w:val="center"/>
          </w:tcPr>
          <w:p>
            <w:r>
              <w:t>探索性结果；测试集在研究阶段被观察</w:t>
            </w:r>
          </w:p>
        </w:tc>
      </w:tr>
      <w:tr>
        <w:tc>
          <w:tcPr>
            <w:tcW w:type="dxa" w:w="2381"/>
            <w:vAlign w:val="center"/>
          </w:tcPr>
          <w:p>
            <w:r>
              <w:t>LOSO pooled（完整）</w:t>
            </w:r>
          </w:p>
        </w:tc>
        <w:tc>
          <w:tcPr>
            <w:tcW w:type="dxa" w:w="1701"/>
            <w:vAlign w:val="center"/>
          </w:tcPr>
          <w:p>
            <w:r>
              <w:t>约 0.9080</w:t>
            </w:r>
          </w:p>
        </w:tc>
        <w:tc>
          <w:tcPr>
            <w:tcW w:type="dxa" w:w="1701"/>
            <w:vAlign w:val="center"/>
          </w:tcPr>
          <w:p>
            <w:r>
              <w:t>约 0.6878</w:t>
            </w:r>
          </w:p>
        </w:tc>
        <w:tc>
          <w:tcPr>
            <w:tcW w:type="dxa" w:w="3402"/>
            <w:vAlign w:val="center"/>
          </w:tcPr>
          <w:p>
            <w:r>
              <w:t>更适合作为当前跨患者泛化估计</w:t>
            </w:r>
          </w:p>
        </w:tc>
      </w:tr>
      <w:tr>
        <w:tc>
          <w:tcPr>
            <w:tcW w:type="dxa" w:w="2381"/>
            <w:vAlign w:val="center"/>
          </w:tcPr>
          <w:p>
            <w:r>
              <w:t>LOSO subject-macro</w:t>
            </w:r>
          </w:p>
        </w:tc>
        <w:tc>
          <w:tcPr>
            <w:tcW w:type="dxa" w:w="1701"/>
            <w:vAlign w:val="center"/>
          </w:tcPr>
          <w:p>
            <w:r>
              <w:t>约 0.8879</w:t>
            </w:r>
          </w:p>
        </w:tc>
        <w:tc>
          <w:tcPr>
            <w:tcW w:type="dxa" w:w="1701"/>
            <w:vAlign w:val="center"/>
          </w:tcPr>
          <w:p>
            <w:r>
              <w:t>—</w:t>
            </w:r>
          </w:p>
        </w:tc>
        <w:tc>
          <w:tcPr>
            <w:tcW w:type="dxa" w:w="3402"/>
            <w:vAlign w:val="center"/>
          </w:tcPr>
          <w:p>
            <w:r>
              <w:t>16 位同时含正负样本患者</w:t>
            </w:r>
          </w:p>
        </w:tc>
      </w:tr>
      <w:tr>
        <w:tc>
          <w:tcPr>
            <w:tcW w:type="dxa" w:w="2381"/>
            <w:vAlign w:val="center"/>
          </w:tcPr>
          <w:p>
            <w:r>
              <w:t>公开 1D-CNN 参考</w:t>
            </w:r>
          </w:p>
        </w:tc>
        <w:tc>
          <w:tcPr>
            <w:tcW w:type="dxa" w:w="1701"/>
            <w:vAlign w:val="center"/>
          </w:tcPr>
          <w:p>
            <w:r>
              <w:t>约 0.909</w:t>
            </w:r>
          </w:p>
        </w:tc>
        <w:tc>
          <w:tcPr>
            <w:tcW w:type="dxa" w:w="1701"/>
            <w:vAlign w:val="center"/>
          </w:tcPr>
          <w:p>
            <w:r>
              <w:t>—</w:t>
            </w:r>
          </w:p>
        </w:tc>
        <w:tc>
          <w:tcPr>
            <w:tcW w:type="dxa" w:w="3402"/>
            <w:vAlign w:val="center"/>
          </w:tcPr>
          <w:p>
            <w:r>
              <w:t>左踝 gyro 公开测试结果</w:t>
            </w:r>
          </w:p>
        </w:tc>
      </w:tr>
      <w:tr>
        <w:tc>
          <w:tcPr>
            <w:tcW w:type="dxa" w:w="2381"/>
            <w:vAlign w:val="center"/>
          </w:tcPr>
          <w:p>
            <w:r>
              <w:t>本地严格 1D-CNN</w:t>
            </w:r>
          </w:p>
        </w:tc>
        <w:tc>
          <w:tcPr>
            <w:tcW w:type="dxa" w:w="1701"/>
            <w:vAlign w:val="center"/>
          </w:tcPr>
          <w:p>
            <w:r>
              <w:t>0.8967</w:t>
            </w:r>
          </w:p>
        </w:tc>
        <w:tc>
          <w:tcPr>
            <w:tcW w:type="dxa" w:w="1701"/>
            <w:vAlign w:val="center"/>
          </w:tcPr>
          <w:p>
            <w:r>
              <w:t>0.6875</w:t>
            </w:r>
          </w:p>
        </w:tc>
        <w:tc>
          <w:tcPr>
            <w:tcW w:type="dxa" w:w="3402"/>
            <w:vAlign w:val="center"/>
          </w:tcPr>
          <w:p>
            <w:r>
              <w:t>FoG-STAR v3.0 受控复现</w:t>
            </w:r>
          </w:p>
        </w:tc>
      </w:tr>
    </w:tbl>
    <w:p/>
    <w:p>
      <w:pPr>
        <w:pStyle w:val="Heading1"/>
      </w:pPr>
      <w:r>
        <w:t>2. 数据与实验协议</w:t>
      </w:r>
    </w:p>
    <w:p>
      <w:pPr>
        <w:pStyle w:val="ListBullet"/>
      </w:pPr>
      <w:r>
        <w:t>数据集：FoG-STAR v3.0；22 位帕金森病患者；采样率 60 Hz。</w:t>
      </w:r>
    </w:p>
    <w:p>
      <w:pPr>
        <w:pStyle w:val="ListBullet"/>
      </w:pPr>
      <w:r>
        <w:t>四个 IMU 位置：左踝、右踝、腰背、腕部；每个位置 3 轴加速度 + 3 轴陀螺仪，共 24 路。</w:t>
      </w:r>
    </w:p>
    <w:p>
      <w:pPr>
        <w:pStyle w:val="ListBullet"/>
      </w:pPr>
      <w:r>
        <w:t>预处理：0.5–20 Hz 四阶零相位 Butterworth 带通滤波；仅在连续有限值区间内滤波，避免 NaN 扩散。</w:t>
      </w:r>
    </w:p>
    <w:p>
      <w:pPr>
        <w:pStyle w:val="ListBullet"/>
      </w:pPr>
      <w:r>
        <w:t>窗口：2 s（120 samples），滑动 0.5 s（75% overlap）；窗口内逐通道去均值。</w:t>
      </w:r>
    </w:p>
    <w:p>
      <w:pPr>
        <w:pStyle w:val="ListBullet"/>
      </w:pPr>
      <w:r>
        <w:t>FoG 标签采用窗口内多数投票；窗口严格限制在同一 subject/session/task 内。</w:t>
      </w:r>
    </w:p>
    <w:p>
      <w:pPr>
        <w:pStyle w:val="ListBullet"/>
      </w:pPr>
      <w:r>
        <w:t>固定复现划分：Train 1–11，Validation 12–16，Test 17–22。</w:t>
      </w:r>
    </w:p>
    <w:p>
      <w:pPr>
        <w:pStyle w:val="ListBullet"/>
      </w:pPr>
      <w:r>
        <w:t>患者级确认性评价：LOSO，逐一留出 22 位患者。</w:t>
      </w:r>
    </w:p>
    <w:p>
      <w:r>
        <w:t>数据共构造 10,599 个窗口，其中 FoG 阳性窗口 2,105 个。6、7、8、10、14、18 号患者没有 FoG 阳性窗口，因此这些患者的单患者 AUROC 不可定义；LOSO 同时报告 pooled AUROC/AUPRC 和可定义患者的 subject-macro AUROC。</w:t>
      </w:r>
    </w:p>
    <w:p>
      <w:pPr>
        <w:pStyle w:val="Heading1"/>
      </w:pPr>
      <w:r>
        <w:t>3. 强基线复现与差异定位</w:t>
      </w:r>
    </w:p>
    <w:p>
      <w:r>
        <w:t>公开 1D-CNN 输入为 120×3，即 2 秒单个三轴陀螺仪窗口。网络采用因果 Conv1D、MaxPooling、Dropout、Global Average Pooling 和 Dense 分类头。当前数据版本按公开协议受控复现后，测试 AUROC 约 0.897–0.900，已经进入公开结果约 0.909 的同一性能区间。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fill="E7E6E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402"/>
            <w:shd w:fill="E7E6E6"/>
            <w:vAlign w:val="center"/>
          </w:tcPr>
          <w:p>
            <w:r>
              <w:rPr>
                <w:b/>
              </w:rPr>
              <w:t>严格本地复现</w:t>
            </w:r>
          </w:p>
        </w:tc>
      </w:tr>
      <w:tr>
        <w:tc>
          <w:tcPr>
            <w:tcW w:type="dxa" w:w="3969"/>
            <w:vAlign w:val="center"/>
          </w:tcPr>
          <w:p>
            <w:r>
              <w:t>Validation AUROC</w:t>
            </w:r>
          </w:p>
        </w:tc>
        <w:tc>
          <w:tcPr>
            <w:tcW w:type="dxa" w:w="3402"/>
            <w:vAlign w:val="center"/>
          </w:tcPr>
          <w:p>
            <w:r>
              <w:t>0.8557</w:t>
            </w:r>
          </w:p>
        </w:tc>
      </w:tr>
      <w:tr>
        <w:tc>
          <w:tcPr>
            <w:tcW w:type="dxa" w:w="3969"/>
            <w:vAlign w:val="center"/>
          </w:tcPr>
          <w:p>
            <w:r>
              <w:t>Test AUROC</w:t>
            </w:r>
          </w:p>
        </w:tc>
        <w:tc>
          <w:tcPr>
            <w:tcW w:type="dxa" w:w="3402"/>
            <w:vAlign w:val="center"/>
          </w:tcPr>
          <w:p>
            <w:r>
              <w:t>0.8967</w:t>
            </w:r>
          </w:p>
        </w:tc>
      </w:tr>
      <w:tr>
        <w:tc>
          <w:tcPr>
            <w:tcW w:type="dxa" w:w="3969"/>
            <w:vAlign w:val="center"/>
          </w:tcPr>
          <w:p>
            <w:r>
              <w:t>Test AUPRC</w:t>
            </w:r>
          </w:p>
        </w:tc>
        <w:tc>
          <w:tcPr>
            <w:tcW w:type="dxa" w:w="3402"/>
            <w:vAlign w:val="center"/>
          </w:tcPr>
          <w:p>
            <w:r>
              <w:t>0.6875</w:t>
            </w:r>
          </w:p>
        </w:tc>
      </w:tr>
      <w:tr>
        <w:tc>
          <w:tcPr>
            <w:tcW w:type="dxa" w:w="3969"/>
            <w:vAlign w:val="center"/>
          </w:tcPr>
          <w:p>
            <w:r>
              <w:t>Test F1（val threshold）</w:t>
            </w:r>
          </w:p>
        </w:tc>
        <w:tc>
          <w:tcPr>
            <w:tcW w:type="dxa" w:w="3402"/>
            <w:vAlign w:val="center"/>
          </w:tcPr>
          <w:p>
            <w:r>
              <w:t>0.6441</w:t>
            </w:r>
          </w:p>
        </w:tc>
      </w:tr>
    </w:tbl>
    <w:p/>
    <w:p>
      <w:r>
        <w:t>复现结果表明，早期低性能并非“FoG-STAR 难以学习”，而主要来自训练协议、窗口构造、缺失处理和验证方式与公开实现不一致。强基线恢复以后，新模型才有公平比较意义。</w:t>
      </w:r>
    </w:p>
    <w:p>
      <w:pPr>
        <w:pStyle w:val="Heading1"/>
      </w:pPr>
      <w:r>
        <w:t>4. 最终模型 ACTE-FoG</w:t>
      </w:r>
    </w:p>
    <w:p>
      <w:r>
        <w:drawing>
          <wp:inline xmlns:a="http://schemas.openxmlformats.org/drawingml/2006/main" xmlns:pic="http://schemas.openxmlformats.org/drawingml/2006/picture">
            <wp:extent cx="6217920" cy="1618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e_fo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ACTE-FoG 总体结构</w:t>
      </w:r>
    </w:p>
    <w:p>
      <w:pPr>
        <w:pStyle w:val="Heading2"/>
      </w:pPr>
      <w:r>
        <w:t>4.1 双踝主导局部表征</w:t>
      </w:r>
    </w:p>
    <w:p>
      <w:r>
        <w:t>双踝共有 12 路 Acc/Gyro 通道。每个窗口提取 STD、RMS、动态差分幅值、Freeze Index 和通道缺失比例。Freeze Index 采用 3–8 Hz 冻结频带功率相对 0.5–3 Hz locomotor 频带功率的比值，并进行 log1p 变换。该表征同时刻画步态振幅、动态性、冻结相关高频成分及数据可靠性。</w:t>
      </w:r>
    </w:p>
    <w:p>
      <w:pPr>
        <w:pStyle w:val="Heading2"/>
      </w:pPr>
      <w:r>
        <w:t>4.2 全身协调摘要</w:t>
      </w:r>
    </w:p>
    <w:p>
      <w:r>
        <w:t>四个身体节点分别计算 Acc 模长和 Gyro 模长；每种模态在四节点间形成 6 个两两相关系数，共得到 12 个跨部位协调特征。该设计保留“上下肢/躯干是否出现运动失同步”的关系信息，同时避免直接将所有 24 路高维原始时序输入模型导致的过拟合。</w:t>
      </w:r>
    </w:p>
    <w:p>
      <w:pPr>
        <w:pStyle w:val="Heading2"/>
      </w:pPr>
      <w:r>
        <w:t>4.3 分类与短时序解码</w:t>
      </w:r>
    </w:p>
    <w:p>
      <w:r>
        <w:t>窗口级分类器采用 ExtraTrees（正式固定划分实验：500 trees，min_samples_leaf=3，max_features=0.5，class_weight=balanced）。随后对同一 subject/task 内的窗口概率执行 7-window 短时序聚合。由于窗口步长为 0.5 s，7 个相邻预测覆盖约 5 s 的原始运动上下文。离线研究采用 centered decoder；实时部署必须切换为 causal decoder。</w:t>
      </w:r>
    </w:p>
    <w:p>
      <w:pPr>
        <w:pStyle w:val="Heading1"/>
      </w:pPr>
      <w:r>
        <w:t>5. 固定 11/5/6 划分结果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fill="E7E6E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402"/>
            <w:shd w:fill="E7E6E6"/>
            <w:vAlign w:val="center"/>
          </w:tcPr>
          <w:p>
            <w:r>
              <w:rPr>
                <w:b/>
              </w:rPr>
              <w:t>5-seed 结果</w:t>
            </w:r>
          </w:p>
        </w:tc>
      </w:tr>
      <w:tr>
        <w:tc>
          <w:tcPr>
            <w:tcW w:type="dxa" w:w="4535"/>
            <w:vAlign w:val="center"/>
          </w:tcPr>
          <w:p>
            <w:r>
              <w:t>Validation AUROC</w:t>
            </w:r>
          </w:p>
        </w:tc>
        <w:tc>
          <w:tcPr>
            <w:tcW w:type="dxa" w:w="3402"/>
            <w:vAlign w:val="center"/>
          </w:tcPr>
          <w:p>
            <w:r>
              <w:t>0.8760 ± 0.0019</w:t>
            </w:r>
          </w:p>
        </w:tc>
      </w:tr>
      <w:tr>
        <w:tc>
          <w:tcPr>
            <w:tcW w:type="dxa" w:w="4535"/>
            <w:vAlign w:val="center"/>
          </w:tcPr>
          <w:p>
            <w:r>
              <w:t>Validation AUPRC</w:t>
            </w:r>
          </w:p>
        </w:tc>
        <w:tc>
          <w:tcPr>
            <w:tcW w:type="dxa" w:w="3402"/>
            <w:vAlign w:val="center"/>
          </w:tcPr>
          <w:p>
            <w:r>
              <w:t>0.4362 ± 0.0031</w:t>
            </w:r>
          </w:p>
        </w:tc>
      </w:tr>
      <w:tr>
        <w:tc>
          <w:tcPr>
            <w:tcW w:type="dxa" w:w="4535"/>
            <w:vAlign w:val="center"/>
          </w:tcPr>
          <w:p>
            <w:r>
              <w:t>Test AUROC</w:t>
            </w:r>
          </w:p>
        </w:tc>
        <w:tc>
          <w:tcPr>
            <w:tcW w:type="dxa" w:w="3402"/>
            <w:vAlign w:val="center"/>
          </w:tcPr>
          <w:p>
            <w:r>
              <w:t>0.9318 ± 0.0003</w:t>
            </w:r>
          </w:p>
        </w:tc>
      </w:tr>
      <w:tr>
        <w:tc>
          <w:tcPr>
            <w:tcW w:type="dxa" w:w="4535"/>
            <w:vAlign w:val="center"/>
          </w:tcPr>
          <w:p>
            <w:r>
              <w:t>Test AUPRC</w:t>
            </w:r>
          </w:p>
        </w:tc>
        <w:tc>
          <w:tcPr>
            <w:tcW w:type="dxa" w:w="3402"/>
            <w:vAlign w:val="center"/>
          </w:tcPr>
          <w:p>
            <w:r>
              <w:t>0.7735 ± 0.0021</w:t>
            </w:r>
          </w:p>
        </w:tc>
      </w:tr>
      <w:tr>
        <w:tc>
          <w:tcPr>
            <w:tcW w:type="dxa" w:w="4535"/>
            <w:vAlign w:val="center"/>
          </w:tcPr>
          <w:p>
            <w:r>
              <w:t>Test F1</w:t>
            </w:r>
          </w:p>
        </w:tc>
        <w:tc>
          <w:tcPr>
            <w:tcW w:type="dxa" w:w="3402"/>
            <w:vAlign w:val="center"/>
          </w:tcPr>
          <w:p>
            <w:r>
              <w:t>0.7336 ± 0.0027</w:t>
            </w:r>
          </w:p>
        </w:tc>
      </w:tr>
      <w:tr>
        <w:tc>
          <w:tcPr>
            <w:tcW w:type="dxa" w:w="4535"/>
            <w:vAlign w:val="center"/>
          </w:tcPr>
          <w:p>
            <w:r>
              <w:t>Sensitivity</w:t>
            </w:r>
          </w:p>
        </w:tc>
        <w:tc>
          <w:tcPr>
            <w:tcW w:type="dxa" w:w="3402"/>
            <w:vAlign w:val="center"/>
          </w:tcPr>
          <w:p>
            <w:r>
              <w:t>0.8378 ± 0.0059</w:t>
            </w:r>
          </w:p>
        </w:tc>
      </w:tr>
      <w:tr>
        <w:tc>
          <w:tcPr>
            <w:tcW w:type="dxa" w:w="4535"/>
            <w:vAlign w:val="center"/>
          </w:tcPr>
          <w:p>
            <w:r>
              <w:t>Specificity</w:t>
            </w:r>
          </w:p>
        </w:tc>
        <w:tc>
          <w:tcPr>
            <w:tcW w:type="dxa" w:w="3402"/>
            <w:vAlign w:val="center"/>
          </w:tcPr>
          <w:p>
            <w:r>
              <w:t>0.8853 ± 0.0039</w:t>
            </w:r>
          </w:p>
        </w:tc>
      </w:tr>
      <w:tr>
        <w:tc>
          <w:tcPr>
            <w:tcW w:type="dxa" w:w="4535"/>
            <w:vAlign w:val="center"/>
          </w:tcPr>
          <w:p>
            <w:r>
              <w:t>Accuracy</w:t>
            </w:r>
          </w:p>
        </w:tc>
        <w:tc>
          <w:tcPr>
            <w:tcW w:type="dxa" w:w="3402"/>
            <w:vAlign w:val="center"/>
          </w:tcPr>
          <w:p>
            <w:r>
              <w:t>0.8756 ± 0.0022</w:t>
            </w:r>
          </w:p>
        </w:tc>
      </w:tr>
    </w:tbl>
    <w:p/>
    <w:p>
      <w:r>
        <w:t>活动分层显示：Walk AUROC 0.944；Turn-right AUROC 0.931，Sensitivity 88.5%，FPR 8.3%；Turn-left AUROC 0.926，Sensitivity 84.7%，FPR 10.7%。Standing 是固定测试集上的主要残余假阳性场景。</w:t>
      </w:r>
    </w:p>
    <w:p>
      <w:r>
        <w:rPr>
          <w:b/>
        </w:rPr>
        <w:t>解释边界：</w:t>
      </w:r>
      <w:r>
        <w:t>固定测试集在模型探索阶段被多次观察，因此 0.9318 应作为探索性性能和协议可比结果，不宜直接作为“无偏跨患者泛化性能”的唯一数字。</w:t>
      </w:r>
    </w:p>
    <w:p>
      <w:pPr>
        <w:pStyle w:val="Heading1"/>
      </w:pPr>
      <w:r>
        <w:t>6. 患者级 LOSO 内部确认性实验</w:t>
      </w:r>
    </w:p>
    <w:p>
      <w:r>
        <w:t>冻结 ACTE-FoG 后，对 22 位患者逐一留一。每折只使用其余 21 位患者训练，留出患者仅用于预测；时序解码严格限制在该患者同一 task 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fill="E7E6E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969"/>
            <w:shd w:fill="E7E6E6"/>
            <w:vAlign w:val="center"/>
          </w:tcPr>
          <w:p>
            <w:r>
              <w:rPr>
                <w:b/>
              </w:rPr>
              <w:t>LOSO 结果</w:t>
            </w:r>
          </w:p>
        </w:tc>
      </w:tr>
      <w:tr>
        <w:tc>
          <w:tcPr>
            <w:tcW w:type="dxa" w:w="4535"/>
            <w:vAlign w:val="center"/>
          </w:tcPr>
          <w:p>
            <w:r>
              <w:t>Pooled AUROC</w:t>
            </w:r>
          </w:p>
        </w:tc>
        <w:tc>
          <w:tcPr>
            <w:tcW w:type="dxa" w:w="3969"/>
            <w:vAlign w:val="center"/>
          </w:tcPr>
          <w:p>
            <w:r>
              <w:t>约 0.9080</w:t>
            </w:r>
          </w:p>
        </w:tc>
      </w:tr>
      <w:tr>
        <w:tc>
          <w:tcPr>
            <w:tcW w:type="dxa" w:w="4535"/>
            <w:vAlign w:val="center"/>
          </w:tcPr>
          <w:p>
            <w:r>
              <w:t>Pooled AUPRC</w:t>
            </w:r>
          </w:p>
        </w:tc>
        <w:tc>
          <w:tcPr>
            <w:tcW w:type="dxa" w:w="3969"/>
            <w:vAlign w:val="center"/>
          </w:tcPr>
          <w:p>
            <w:r>
              <w:t>约 0.6878</w:t>
            </w:r>
          </w:p>
        </w:tc>
      </w:tr>
      <w:tr>
        <w:tc>
          <w:tcPr>
            <w:tcW w:type="dxa" w:w="4535"/>
            <w:vAlign w:val="center"/>
          </w:tcPr>
          <w:p>
            <w:r>
              <w:t>Subject-macro AUROC</w:t>
            </w:r>
          </w:p>
        </w:tc>
        <w:tc>
          <w:tcPr>
            <w:tcW w:type="dxa" w:w="3969"/>
            <w:vAlign w:val="center"/>
          </w:tcPr>
          <w:p>
            <w:r>
              <w:t>约 0.8879（16 位可定义）</w:t>
            </w:r>
          </w:p>
        </w:tc>
      </w:tr>
      <w:tr>
        <w:tc>
          <w:tcPr>
            <w:tcW w:type="dxa" w:w="4535"/>
            <w:vAlign w:val="center"/>
          </w:tcPr>
          <w:p>
            <w:r>
              <w:t>Walk AUROC</w:t>
            </w:r>
          </w:p>
        </w:tc>
        <w:tc>
          <w:tcPr>
            <w:tcW w:type="dxa" w:w="3969"/>
            <w:vAlign w:val="center"/>
          </w:tcPr>
          <w:p>
            <w:r>
              <w:t>约 0.973</w:t>
            </w:r>
          </w:p>
        </w:tc>
      </w:tr>
      <w:tr>
        <w:tc>
          <w:tcPr>
            <w:tcW w:type="dxa" w:w="4535"/>
            <w:vAlign w:val="center"/>
          </w:tcPr>
          <w:p>
            <w:r>
              <w:t>Turn-left AUROC</w:t>
            </w:r>
          </w:p>
        </w:tc>
        <w:tc>
          <w:tcPr>
            <w:tcW w:type="dxa" w:w="3969"/>
            <w:vAlign w:val="center"/>
          </w:tcPr>
          <w:p>
            <w:r>
              <w:t>约 0.902</w:t>
            </w:r>
          </w:p>
        </w:tc>
      </w:tr>
      <w:tr>
        <w:tc>
          <w:tcPr>
            <w:tcW w:type="dxa" w:w="4535"/>
            <w:vAlign w:val="center"/>
          </w:tcPr>
          <w:p>
            <w:r>
              <w:t>Turn-right AUROC</w:t>
            </w:r>
          </w:p>
        </w:tc>
        <w:tc>
          <w:tcPr>
            <w:tcW w:type="dxa" w:w="3969"/>
            <w:vAlign w:val="center"/>
          </w:tcPr>
          <w:p>
            <w:r>
              <w:t>约 0.854</w:t>
            </w:r>
          </w:p>
        </w:tc>
      </w:tr>
      <w:tr>
        <w:tc>
          <w:tcPr>
            <w:tcW w:type="dxa" w:w="4535"/>
            <w:vAlign w:val="center"/>
          </w:tcPr>
          <w:p>
            <w:r>
              <w:t>Stand AUROC</w:t>
            </w:r>
          </w:p>
        </w:tc>
        <w:tc>
          <w:tcPr>
            <w:tcW w:type="dxa" w:w="3969"/>
            <w:vAlign w:val="center"/>
          </w:tcPr>
          <w:p>
            <w:r>
              <w:t>约 0.612</w:t>
            </w:r>
          </w:p>
        </w:tc>
      </w:tr>
    </w:tbl>
    <w:p/>
    <w:p>
      <w:r>
        <w:t>快速工程复核（30 trees, seed 2）得到 pooled AUROC 0.9046、AUPRC 0.6886、macro AUROC 0.8807，与完整 LOSO 的方向一致。固定划分 0.9318 与 LOSO 约 0.908 的差距说明 FoG-STAR 存在明显 split sensitivity 和患者异质性。</w:t>
      </w:r>
    </w:p>
    <w:p>
      <w:pPr>
        <w:pStyle w:val="Heading1"/>
      </w:pPr>
      <w:r>
        <w:t>7. Standing/Turning Hard-negative 对照</w:t>
      </w:r>
    </w:p>
    <w:p>
      <w:r>
        <w:t>仅在训练阶段对 Standing-negative 和 Turning-negative 增加样本权重，推理阶段不使用 activity 真值。快速 LOSO 对照结果如下。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shd w:fill="E7E6E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551"/>
            <w:shd w:fill="E7E6E6"/>
            <w:vAlign w:val="center"/>
          </w:tcPr>
          <w:p>
            <w:r>
              <w:rPr>
                <w:b/>
              </w:rPr>
              <w:t>原 ACTE-FoG</w:t>
            </w:r>
          </w:p>
        </w:tc>
        <w:tc>
          <w:tcPr>
            <w:tcW w:type="dxa" w:w="2551"/>
            <w:shd w:fill="E7E6E6"/>
            <w:vAlign w:val="center"/>
          </w:tcPr>
          <w:p>
            <w:r>
              <w:rPr>
                <w:b/>
              </w:rPr>
              <w:t>Hard-negative</w:t>
            </w:r>
          </w:p>
        </w:tc>
      </w:tr>
      <w:tr>
        <w:tc>
          <w:tcPr>
            <w:tcW w:type="dxa" w:w="3402"/>
            <w:vAlign w:val="center"/>
          </w:tcPr>
          <w:p>
            <w:r>
              <w:t>Pooled AUROC</w:t>
            </w:r>
          </w:p>
        </w:tc>
        <w:tc>
          <w:tcPr>
            <w:tcW w:type="dxa" w:w="2551"/>
            <w:vAlign w:val="center"/>
          </w:tcPr>
          <w:p>
            <w:r>
              <w:t>0.9046</w:t>
            </w:r>
          </w:p>
        </w:tc>
        <w:tc>
          <w:tcPr>
            <w:tcW w:type="dxa" w:w="2551"/>
            <w:vAlign w:val="center"/>
          </w:tcPr>
          <w:p>
            <w:r>
              <w:t>0.9060</w:t>
            </w:r>
          </w:p>
        </w:tc>
      </w:tr>
      <w:tr>
        <w:tc>
          <w:tcPr>
            <w:tcW w:type="dxa" w:w="3402"/>
            <w:vAlign w:val="center"/>
          </w:tcPr>
          <w:p>
            <w:r>
              <w:t>Pooled AUPRC</w:t>
            </w:r>
          </w:p>
        </w:tc>
        <w:tc>
          <w:tcPr>
            <w:tcW w:type="dxa" w:w="2551"/>
            <w:vAlign w:val="center"/>
          </w:tcPr>
          <w:p>
            <w:r>
              <w:t>0.6886</w:t>
            </w:r>
          </w:p>
        </w:tc>
        <w:tc>
          <w:tcPr>
            <w:tcW w:type="dxa" w:w="2551"/>
            <w:vAlign w:val="center"/>
          </w:tcPr>
          <w:p>
            <w:r>
              <w:t>0.6928</w:t>
            </w:r>
          </w:p>
        </w:tc>
      </w:tr>
      <w:tr>
        <w:tc>
          <w:tcPr>
            <w:tcW w:type="dxa" w:w="3402"/>
            <w:vAlign w:val="center"/>
          </w:tcPr>
          <w:p>
            <w:r>
              <w:t>Macro AUROC</w:t>
            </w:r>
          </w:p>
        </w:tc>
        <w:tc>
          <w:tcPr>
            <w:tcW w:type="dxa" w:w="2551"/>
            <w:vAlign w:val="center"/>
          </w:tcPr>
          <w:p>
            <w:r>
              <w:t>0.8807</w:t>
            </w:r>
          </w:p>
        </w:tc>
        <w:tc>
          <w:tcPr>
            <w:tcW w:type="dxa" w:w="2551"/>
            <w:vAlign w:val="center"/>
          </w:tcPr>
          <w:p>
            <w:r>
              <w:t>0.8901</w:t>
            </w:r>
          </w:p>
        </w:tc>
      </w:tr>
      <w:tr>
        <w:tc>
          <w:tcPr>
            <w:tcW w:type="dxa" w:w="3402"/>
            <w:vAlign w:val="center"/>
          </w:tcPr>
          <w:p>
            <w:r>
              <w:t>Turn-right AUROC</w:t>
            </w:r>
          </w:p>
        </w:tc>
        <w:tc>
          <w:tcPr>
            <w:tcW w:type="dxa" w:w="2551"/>
            <w:vAlign w:val="center"/>
          </w:tcPr>
          <w:p>
            <w:r>
              <w:t>0.8465</w:t>
            </w:r>
          </w:p>
        </w:tc>
        <w:tc>
          <w:tcPr>
            <w:tcW w:type="dxa" w:w="2551"/>
            <w:vAlign w:val="center"/>
          </w:tcPr>
          <w:p>
            <w:r>
              <w:t>0.8565</w:t>
            </w:r>
          </w:p>
        </w:tc>
      </w:tr>
      <w:tr>
        <w:tc>
          <w:tcPr>
            <w:tcW w:type="dxa" w:w="3402"/>
            <w:vAlign w:val="center"/>
          </w:tcPr>
          <w:p>
            <w:r>
              <w:t>Turn-left AUROC</w:t>
            </w:r>
          </w:p>
        </w:tc>
        <w:tc>
          <w:tcPr>
            <w:tcW w:type="dxa" w:w="2551"/>
            <w:vAlign w:val="center"/>
          </w:tcPr>
          <w:p>
            <w:r>
              <w:t>0.8988</w:t>
            </w:r>
          </w:p>
        </w:tc>
        <w:tc>
          <w:tcPr>
            <w:tcW w:type="dxa" w:w="2551"/>
            <w:vAlign w:val="center"/>
          </w:tcPr>
          <w:p>
            <w:r>
              <w:t>0.9000</w:t>
            </w:r>
          </w:p>
        </w:tc>
      </w:tr>
      <w:tr>
        <w:tc>
          <w:tcPr>
            <w:tcW w:type="dxa" w:w="3402"/>
            <w:vAlign w:val="center"/>
          </w:tcPr>
          <w:p>
            <w:r>
              <w:t>Stand AUROC</w:t>
            </w:r>
          </w:p>
        </w:tc>
        <w:tc>
          <w:tcPr>
            <w:tcW w:type="dxa" w:w="2551"/>
            <w:vAlign w:val="center"/>
          </w:tcPr>
          <w:p>
            <w:r>
              <w:t>0.6147</w:t>
            </w:r>
          </w:p>
        </w:tc>
        <w:tc>
          <w:tcPr>
            <w:tcW w:type="dxa" w:w="2551"/>
            <w:vAlign w:val="center"/>
          </w:tcPr>
          <w:p>
            <w:r>
              <w:t>0.5988</w:t>
            </w:r>
          </w:p>
        </w:tc>
      </w:tr>
    </w:tbl>
    <w:p/>
    <w:p>
      <w:r>
        <w:t>结论：hard-negative 对总体与转弯场景有小幅增益，但未解决 Standing，且 Stand AUROC 略有下降。因此它仅作为可选训练策略保留，不作为核心创新点，也不继续据此修改主模型结构。</w:t>
      </w:r>
    </w:p>
    <w:p>
      <w:pPr>
        <w:pStyle w:val="Heading1"/>
      </w:pPr>
      <w:r>
        <w:t>8. 最终有效技术结论</w:t>
      </w:r>
    </w:p>
    <w:p>
      <w:pPr>
        <w:pStyle w:val="ListBullet"/>
      </w:pPr>
      <w:r>
        <w:t>踝部是 FoG 判别的主信息源；双踝能够提供左右步态互补。</w:t>
      </w:r>
    </w:p>
    <w:p>
      <w:pPr>
        <w:pStyle w:val="ListBullet"/>
      </w:pPr>
      <w:r>
        <w:t>全身协调信息具有增量价值，但更适合作为紧凑关系摘要，而不是无约束堆叠全部 24 路原始信号。</w:t>
      </w:r>
    </w:p>
    <w:p>
      <w:pPr>
        <w:pStyle w:val="ListBullet"/>
      </w:pPr>
      <w:r>
        <w:t>短时序上下文有效，说明 FoG 判断需要相邻运动状态及变化过程，而非单个孤立窗口。</w:t>
      </w:r>
    </w:p>
    <w:p>
      <w:pPr>
        <w:pStyle w:val="ListBullet"/>
      </w:pPr>
      <w:r>
        <w:t>患者异质性不可忽略：固定测试集结果明显高于 LOSO，论文必须报告患者独立确认性结果。</w:t>
      </w:r>
    </w:p>
    <w:p>
      <w:pPr>
        <w:pStyle w:val="ListBullet"/>
      </w:pPr>
      <w:r>
        <w:t>Standing/transition 是当前最明确的残余难点，应作为后续专项机制问题，而不是继续盲目增加模型复杂度。</w:t>
      </w:r>
    </w:p>
    <w:p>
      <w:pPr>
        <w:pStyle w:val="Heading1"/>
      </w:pPr>
      <w:r>
        <w:t>9. 推荐论文技术主线</w:t>
      </w:r>
    </w:p>
    <w:p>
      <w:r>
        <w:t>建议围绕以下问题组织论文：强单踝 FoG 检测器已经具有较高性能，但 FoG 尤其在转身与运动转换阶段体现为跨身体部位的协调失稳，并具有短时持续和演化特征。能否在保持踝部强判别能力的基础上，通过紧凑的全身协调表征和短时序上下文提高患者独立 FoG 检测鲁棒性？</w:t>
      </w:r>
    </w:p>
    <w:p>
      <w:pPr>
        <w:pStyle w:val="ListBullet"/>
      </w:pPr>
      <w:r>
        <w:t>创新 1：Ankle-dominant hierarchical representation。</w:t>
      </w:r>
    </w:p>
    <w:p>
      <w:pPr>
        <w:pStyle w:val="ListBullet"/>
      </w:pPr>
      <w:r>
        <w:t>创新 2：Compact cross-body coordination modeling。</w:t>
      </w:r>
    </w:p>
    <w:p>
      <w:pPr>
        <w:pStyle w:val="ListBullet"/>
      </w:pPr>
      <w:r>
        <w:t>创新 3：Short-context temporal decoding。</w:t>
      </w:r>
    </w:p>
    <w:p>
      <w:pPr>
        <w:pStyle w:val="ListBullet"/>
      </w:pPr>
      <w:r>
        <w:t>创新 4：Missingness-aware processing。</w:t>
      </w:r>
    </w:p>
    <w:p>
      <w:pPr>
        <w:pStyle w:val="ListBullet"/>
      </w:pPr>
      <w:r>
        <w:t>实验贡献：Subject-independent LOSO confirmatory evaluation 与活动分层误差分析。</w:t>
      </w:r>
    </w:p>
    <w:p>
      <w:r>
        <w:t>主结果建议以 LOSO 为核心，固定 11/5/6 结果作为与公开论文协议可比的 secondary analysis。</w:t>
      </w:r>
    </w:p>
    <w:p>
      <w:pPr>
        <w:pStyle w:val="Heading1"/>
      </w:pPr>
      <w:r>
        <w:t>10. 局限与下一阶段</w:t>
      </w:r>
    </w:p>
    <w:p>
      <w:pPr>
        <w:pStyle w:val="ListBullet"/>
      </w:pPr>
      <w:r>
        <w:t>仅 22 位患者，仍需外部公共数据集或独立临床队列验证。</w:t>
      </w:r>
    </w:p>
    <w:p>
      <w:pPr>
        <w:pStyle w:val="ListBullet"/>
      </w:pPr>
      <w:r>
        <w:t>LOSO 是内部确认，不等价于真正外部验证。</w:t>
      </w:r>
    </w:p>
    <w:p>
      <w:pPr>
        <w:pStyle w:val="ListBullet"/>
      </w:pPr>
      <w:r>
        <w:t>centered temporal decoder 属于离线设置，实时部署需独立报告 causal 版本性能和检测延迟。</w:t>
      </w:r>
    </w:p>
    <w:p>
      <w:pPr>
        <w:pStyle w:val="ListBullet"/>
      </w:pPr>
      <w:r>
        <w:t>Standing 场景仍存在混淆；后续应从可观测运动学机制构建 stand/transition context gate，而不是使用推理时的真值 activity。</w:t>
      </w:r>
    </w:p>
    <w:p>
      <w:pPr>
        <w:pStyle w:val="ListBullet"/>
      </w:pPr>
      <w:r>
        <w:t>下一步应增加 episode-level sensitivity、false alarms/hour、onset latency、minimum detected episode duration 等临床相关指标。</w:t>
      </w:r>
    </w:p>
    <w:p>
      <w:pPr>
        <w:pStyle w:val="ListBullet"/>
      </w:pPr>
      <w:r>
        <w:t>二分类稳定后，可进一步构建患者级连续 FoG burden score，并与临床量表、病程和治疗前后变化进行验证。</w:t>
      </w:r>
    </w:p>
    <w:p>
      <w:pPr>
        <w:pStyle w:val="Heading1"/>
      </w:pPr>
      <w:r>
        <w:t>11. 最终结论</w:t>
      </w:r>
    </w:p>
    <w:p>
      <w:r>
        <w:t>本轮研究已经完成从强基线复现、模型探索到患者级内部确认的闭环。最终推荐模型为 ACTE-FoG。固定协议下 Test AUROC 约 0.932；更严格的患者级 LOSO pooled AUROC 约 0.908，后者更适合作为当前阶段真实跨患者泛化能力的估计。工程主线现已可以冻结，后续工作应转向外部验证、事件级临床指标和连续疾病状态量化。</w:t>
      </w:r>
    </w:p>
    <w:sectPr w:rsidR="00FC693F" w:rsidRPr="0006063C" w:rsidSect="00034616"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FoG-STAR / ACTE-FoG 技术报告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