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3B82F6"/>
          <w:sz w:val="56"/>
        </w:rPr>
        <w:t>Spider AI Platform</w:t>
      </w:r>
    </w:p>
    <w:p>
      <w:pPr>
        <w:jc w:val="center"/>
      </w:pPr>
      <w:r>
        <w:rPr>
          <w:rFonts w:ascii="Calibri" w:hAnsi="Calibri"/>
          <w:color w:val="94A3B8"/>
          <w:sz w:val="36"/>
        </w:rPr>
        <w:t>前端界面改造功能设计分析报告</w:t>
      </w:r>
    </w:p>
    <w:p>
      <w:pPr>
        <w:jc w:val="center"/>
      </w:pPr>
      <w:r>
        <w:rPr>
          <w:rFonts w:ascii="Calibri" w:hAnsi="Calibri"/>
          <w:color w:val="64748B"/>
          <w:sz w:val="20"/>
        </w:rPr>
        <w:t>参考网站: https://www.tellius.com/demo  |  编制日期: 2026-06-10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B82F6"/>
        </w:rPr>
        <w:t>第一章  项目背景与目标</w:t>
      </w:r>
    </w:p>
    <w:p>
      <w:pPr>
        <w:pStyle w:val="Heading2"/>
      </w:pPr>
      <w:r>
        <w:rPr>
          <w:rFonts w:ascii="Calibri" w:hAnsi="Calibri"/>
          <w:color w:val="6366F1"/>
        </w:rPr>
        <w:t>1.1 参考网站概述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Tellius (https://www.tellius.com) 是一款面向企业级数据分析的 AI 增强型商业智能平台。其 Demo 展示页面通过极简主义设计语言、暗色主题视觉体系、玻璃拟态卡片系统以及精心编排的微交互动效，营造出强烈的科技感与专业品质。</w:t>
      </w:r>
    </w:p>
    <w:p>
      <w:pPr>
        <w:spacing w:after="120" w:line="360" w:lineRule="auto"/>
      </w:pPr>
      <w:r>
        <w:rPr>
          <w:rFonts w:ascii="Calibri" w:hAnsi="Calibri"/>
          <w:b/>
          <w:color w:val="F1F5F9"/>
          <w:sz w:val="22"/>
        </w:rPr>
        <w:t>Tellius Demo 页面的核心设计理念可概括为以下 5 点: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以用户任务流程为导向的叙事式布局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暗色主题与渐变色彩体系构建的沉浸式体验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玻璃拟态和弥散阴影的层次感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步骤指示器引导的清晰信息架构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大量微交互和流畅动画过渡增强的用户愉悦感</w:t>
      </w:r>
    </w:p>
    <w:p>
      <w:pPr>
        <w:pStyle w:val="Heading2"/>
      </w:pPr>
      <w:r>
        <w:rPr>
          <w:rFonts w:ascii="Calibri" w:hAnsi="Calibri"/>
          <w:color w:val="6366F1"/>
        </w:rPr>
        <w:t>1.2 改造目标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基于 Tellius Demo 站点的设计标准，对 Spider AI 数据采集平台前端界面进行全面改造。改造范围涵盖色彩系统、排版体系、组件样式、布局结构、交互动效和用户体验流程，确保改造后的界面达到与参考网站同等的视觉品质标准。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改造维度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目标状态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色彩系统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基础亮色主题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暗色主题 + 渐变色彩体系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排版体系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默认字体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Inter 字体 + 精密排版比例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组件设计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标准 Ant Design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玻璃拟态卡片 + 自定义阴影系统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布局结构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传统后台布局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叙事式布局 + 步骤指示器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交互效果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基础过渡动画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微交互 + 流畅过渡 + 脉冲动画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用户体验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功能导向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任务流导向 + 步骤可视化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B82F6"/>
        </w:rPr>
        <w:t>第二章  设计系统深度分析</w:t>
      </w:r>
    </w:p>
    <w:p>
      <w:pPr>
        <w:pStyle w:val="Heading2"/>
      </w:pPr>
      <w:r>
        <w:rPr>
          <w:rFonts w:ascii="Calibri" w:hAnsi="Calibri"/>
          <w:color w:val="6366F1"/>
        </w:rPr>
        <w:t>2.1 色彩系统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Tellius 采用以深蓝黑为基调的暗色主题，通过精心调试的梯度色组和半透明叠加构建分层的视觉深度。Spider 平台复刻了相同的策略，建立了 12+ 语义色和 6 类梯度色组。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语义色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色值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Primary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#3B82F6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主操作按钮、链接、聚焦态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Gradient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#3B82F6 -&gt; #6366F1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品牌渐变、Hero 区域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Success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#10B981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成功状态、完成标识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Warning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#F59E0B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警告状态、Kafka Lag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Error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#EF4444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失败状态、错误率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Violet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#8B5CF6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数据总量、辅助图表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Cyan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#06B6D4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质量校验、脱敏标记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Pink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#EC4899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消息采集模板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Background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#0B1120 / #0F172A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页面背景 / 卡片背景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Surface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#1E293B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浮层面板、Sider</w:t>
            </w:r>
          </w:p>
        </w:tc>
      </w:tr>
    </w:tbl>
    <w:p/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梯度色组的引入是本次改造的核心亮点。每个功能模块都拥有独立的语义梯度色，使得信息层级一目了然。例如: 采集任务卡片使用蓝色梯度，ETL 吞吐使用翠绿梯度，Kafka Lag 使用琥珀梯度，数据总量使用紫罗兰梯度。这种「一功能一色」的策略极大提升了信息辨识效率。</w:t>
      </w:r>
    </w:p>
    <w:p>
      <w:pPr>
        <w:pStyle w:val="Heading2"/>
      </w:pPr>
      <w:r>
        <w:rPr>
          <w:rFonts w:ascii="Calibri" w:hAnsi="Calibri"/>
          <w:color w:val="6366F1"/>
        </w:rPr>
        <w:t>2.2 排版体系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Tellius 使用 Inter 字体家族作为主文字字体。Inter 是为屏幕阅读优化的无衬线字体，具有出色的 x-height 和清晰的字形特征，在暗色背景下可读性极佳。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排版类别</w:t>
            </w:r>
          </w:p>
        </w:tc>
        <w:tc>
          <w:tcPr>
            <w:tcW w:type="dxa" w:w="1512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字号</w:t>
            </w:r>
          </w:p>
        </w:tc>
        <w:tc>
          <w:tcPr>
            <w:tcW w:type="dxa" w:w="1512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字重</w:t>
            </w:r>
          </w:p>
        </w:tc>
        <w:tc>
          <w:tcPr>
            <w:tcW w:type="dxa" w:w="1512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行高</w:t>
            </w:r>
          </w:p>
        </w:tc>
        <w:tc>
          <w:tcPr>
            <w:tcW w:type="dxa" w:w="1512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字间距</w:t>
            </w:r>
          </w:p>
        </w:tc>
        <w:tc>
          <w:tcPr>
            <w:tcW w:type="dxa" w:w="1512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Hero Title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36px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900 Black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1.15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-0.03em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页面主标题</w:t>
            </w:r>
          </w:p>
        </w:tc>
      </w:tr>
      <w:tr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Section Title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24px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700 Bold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1.25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-0.02em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区域标题</w:t>
            </w:r>
          </w:p>
        </w:tc>
      </w:tr>
      <w:tr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Card Value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28-30px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700 Bold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1.2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-0.02em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指标卡数值</w:t>
            </w:r>
          </w:p>
        </w:tc>
      </w:tr>
      <w:tr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Card Label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11-12px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600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1.4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+0.05em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指标卡标签(UPPERCASE)</w:t>
            </w:r>
          </w:p>
        </w:tc>
      </w:tr>
      <w:tr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Body Text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14px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400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1.6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normal</w:t>
            </w:r>
          </w:p>
        </w:tc>
        <w:tc>
          <w:tcPr>
            <w:tcW w:type="dxa" w:w="1512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正文段落</w:t>
            </w:r>
          </w:p>
        </w:tc>
      </w:tr>
      <w:tr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Caption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11-12px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400/500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1.4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normal</w:t>
            </w:r>
          </w:p>
        </w:tc>
        <w:tc>
          <w:tcPr>
            <w:tcW w:type="dxa" w:w="1512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辅助信息、时间戳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6366F1"/>
        </w:rPr>
        <w:t>2.3 玻璃拟态与阴影系统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玻璃拟态是 Tellius 设计语言的标志性特征。它通过 backdrop-filter: blur() 实现背景模糊，结合半透明背景色 rgba(0.65) 和微妙的白色边框 opacity(0.06)，构建出如同毛玻璃般通透而有层次感的卡片效果。</w:t>
      </w:r>
    </w:p>
    <w:p>
      <w:pPr>
        <w:spacing w:after="120" w:line="360" w:lineRule="auto"/>
      </w:pPr>
      <w:r>
        <w:rPr>
          <w:rFonts w:ascii="Calibri" w:hAnsi="Calibri"/>
          <w:b/>
          <w:color w:val="F1F5F9"/>
          <w:sz w:val="22"/>
        </w:rPr>
        <w:t>Spider 改造中实现的玻璃拟态规范:</w:t>
      </w:r>
    </w:p>
    <w:p>
      <w:pPr>
        <w:pStyle w:val="ListBullet"/>
      </w:pPr>
      <w:r>
        <w:rPr>
          <w:rFonts w:ascii="Consolas" w:hAnsi="Consolas"/>
          <w:color w:val="94A3B8"/>
          <w:sz w:val="20"/>
        </w:rPr>
        <w:t>卡片背景: rgba(15, 23, 42, 0.65)</w:t>
      </w:r>
    </w:p>
    <w:p>
      <w:pPr>
        <w:pStyle w:val="ListBullet"/>
      </w:pPr>
      <w:r>
        <w:rPr>
          <w:rFonts w:ascii="Consolas" w:hAnsi="Consolas"/>
          <w:color w:val="94A3B8"/>
          <w:sz w:val="20"/>
        </w:rPr>
        <w:t>背景模糊: backdrop-filter: blur(12px)</w:t>
      </w:r>
    </w:p>
    <w:p>
      <w:pPr>
        <w:pStyle w:val="ListBullet"/>
      </w:pPr>
      <w:r>
        <w:rPr>
          <w:rFonts w:ascii="Consolas" w:hAnsi="Consolas"/>
          <w:color w:val="94A3B8"/>
          <w:sz w:val="20"/>
        </w:rPr>
        <w:t>边框: 1px solid rgba(255, 255, 255, 0.06)</w:t>
      </w:r>
    </w:p>
    <w:p>
      <w:pPr>
        <w:pStyle w:val="ListBullet"/>
      </w:pPr>
      <w:r>
        <w:rPr>
          <w:rFonts w:ascii="Consolas" w:hAnsi="Consolas"/>
          <w:color w:val="94A3B8"/>
          <w:sz w:val="20"/>
        </w:rPr>
        <w:t>圆角: 12px (卡片) / 14px (Mission Card) / 10px (图标)</w:t>
      </w:r>
    </w:p>
    <w:p>
      <w:pPr>
        <w:pStyle w:val="ListBullet"/>
      </w:pPr>
      <w:r>
        <w:rPr>
          <w:rFonts w:ascii="Consolas" w:hAnsi="Consolas"/>
          <w:color w:val="94A3B8"/>
          <w:sz w:val="20"/>
        </w:rPr>
        <w:t>过渡: cubic-bezier(0.4, 0, 0.2, 1)</w:t>
      </w:r>
    </w:p>
    <w:p>
      <w:pPr>
        <w:spacing w:after="120" w:line="360" w:lineRule="auto"/>
      </w:pPr>
      <w:r>
        <w:rPr>
          <w:rFonts w:ascii="Calibri" w:hAnsi="Calibri"/>
          <w:b/>
          <w:color w:val="F1F5F9"/>
          <w:sz w:val="22"/>
        </w:rPr>
        <w:t>多层级阴影系统: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阴影层级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阴影值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使用场景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Card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0 2px 8px rgba(0,0,0,0.25)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普通卡片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Elevated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0 8px 32px rgba(0,0,0,0.35)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悬浮卡片、弹窗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Primary Glow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0 0 20px rgba(59,130,246,0.15)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主色辉光卡片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Icon Glow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0 4px 12px rgba(X,Y,Z,0.3)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渐变图标辉光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6366F1"/>
        </w:rPr>
        <w:t>2.4 动画与微交互系统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Tellius 的动效体系遵循「增强而非干扰」的原则。动画主要用于三个维度: (1) 元素入场 - fade-in-up 渐显上升; (2) 状态提示 - 脉冲 badge 指示运行态; (3) 反馈交互 - hover 微位移和阴影增强。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动画名称</w:t>
            </w:r>
          </w:p>
        </w:tc>
        <w:tc>
          <w:tcPr>
            <w:tcW w:type="dxa" w:w="181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81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缓动函数</w:t>
            </w:r>
          </w:p>
        </w:tc>
        <w:tc>
          <w:tcPr>
            <w:tcW w:type="dxa" w:w="181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81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fade-in-up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0.6s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ease-out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页面加载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卡片从下方24px渐显上升</w:t>
            </w:r>
          </w:p>
        </w:tc>
      </w:tr>
      <w:tr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stagger-N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0.6s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cascade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页面加载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阶梯式延迟逐项出场</w:t>
            </w:r>
          </w:p>
        </w:tc>
      </w:tr>
      <w:tr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status-pulse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1.5-2s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ease-in-out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持续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运行态指示灯脉冲闪烁</w:t>
            </w:r>
          </w:p>
        </w:tc>
      </w:tr>
      <w:tr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card-hover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0.3s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cubic-bezier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hover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卡片微上移2px+阴影加深</w:t>
            </w:r>
          </w:p>
        </w:tc>
      </w:tr>
      <w:tr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nav-hover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0.2s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ease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hover</w:t>
            </w:r>
          </w:p>
        </w:tc>
        <w:tc>
          <w:tcPr>
            <w:tcW w:type="dxa" w:w="181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导航项左内边框+背景渐变</w:t>
            </w:r>
          </w:p>
        </w:tc>
      </w:tr>
      <w:tr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console-fade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0.4s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ease-out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日志展示</w:t>
            </w:r>
          </w:p>
        </w:tc>
        <w:tc>
          <w:tcPr>
            <w:tcW w:type="dxa" w:w="181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控制台日志行逐条淡入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B82F6"/>
        </w:rPr>
        <w:t>第三章  组件改造详解</w:t>
      </w:r>
    </w:p>
    <w:p>
      <w:pPr>
        <w:pStyle w:val="Heading2"/>
      </w:pPr>
      <w:r>
        <w:rPr>
          <w:rFonts w:ascii="Calibri" w:hAnsi="Calibri"/>
          <w:color w:val="6366F1"/>
        </w:rPr>
        <w:t>3.1 步骤指示器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Tellius Demo 页面最具辨识度的设计模式是「01 Set the Mission」式步骤指示器。它采用大号淡化数字 (font-size: 52px, opacity 0.15) 作为左侧锚点，右侧跟随标题和描述文字，通过分隔线串联形成一个纵向叙事流。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Spider 改造关键 CSS: .step-section (flex + gap 40px + 底部分隔线) / .step-number (52px, 字重 900, 颜色 rgba(59,130,246,0.15)) / .step-content (渐变图标 + 标题 + 描述)。应用于 Dashboard 的 "How It Works" 区域。</w:t>
      </w:r>
    </w:p>
    <w:p>
      <w:pPr>
        <w:pStyle w:val="Heading2"/>
      </w:pPr>
      <w:r>
        <w:rPr>
          <w:rFonts w:ascii="Calibri" w:hAnsi="Calibri"/>
          <w:color w:val="6366F1"/>
        </w:rPr>
        <w:t>3.2 Premium 指标卡片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指标卡片采用 premium-card CSS 类，统一使用玻璃拟态结合渐变图标和 SVG Sparkline 迷你图表。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渐变图标: 40x40px, 圆角 10px, 带彩色辉光 boxShadow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响应式: xs=24, md=12, xl=6 -&gt; 4列-&gt;2列-&gt;1列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Sparkline: SVG polyline 迷你折线图, 颜色跟随趋势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趋势指示: ArrowUp/ArrowDown 图标 + 百分比 + 同比文字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子任务信息: 采集任务卡片额外展示运行/完成/失败统计</w:t>
      </w:r>
    </w:p>
    <w:p>
      <w:pPr>
        <w:pStyle w:val="Heading2"/>
      </w:pPr>
      <w:r>
        <w:rPr>
          <w:rFonts w:ascii="Calibri" w:hAnsi="Calibri"/>
          <w:color w:val="6366F1"/>
        </w:rPr>
        <w:t>3.3 Mission Card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Mission Card 是 Tellius "New Mission" 功能的视觉映射。特征是: 深色背景 + ::before 伪元素实现的左侧 4px 渐变装饰条 + monospace 字体的控制台日志区。</w:t>
      </w:r>
    </w:p>
    <w:p>
      <w:pPr>
        <w:pStyle w:val="ListBullet"/>
      </w:pPr>
      <w:r>
        <w:rPr>
          <w:rFonts w:ascii="Consolas" w:hAnsi="Consolas"/>
          <w:color w:val="94A3B8"/>
          <w:sz w:val="20"/>
        </w:rPr>
        <w:t>background: rgba(15, 23, 42, 0.8)</w:t>
      </w:r>
    </w:p>
    <w:p>
      <w:pPr>
        <w:pStyle w:val="ListBullet"/>
      </w:pPr>
      <w:r>
        <w:rPr>
          <w:rFonts w:ascii="Consolas" w:hAnsi="Consolas"/>
          <w:color w:val="94A3B8"/>
          <w:sz w:val="20"/>
        </w:rPr>
        <w:t>border: 1px solid rgba(255, 255, 255, 0.08) / border-radius: 14px</w:t>
      </w:r>
    </w:p>
    <w:p>
      <w:pPr>
        <w:pStyle w:val="ListBullet"/>
      </w:pPr>
      <w:r>
        <w:rPr>
          <w:rFonts w:ascii="Consolas" w:hAnsi="Consolas"/>
          <w:color w:val="94A3B8"/>
          <w:sz w:val="20"/>
        </w:rPr>
        <w:t>::before: width 4px, height 100%, gradient(blue-&gt;indigo)</w:t>
      </w:r>
    </w:p>
    <w:p>
      <w:pPr>
        <w:pStyle w:val="ListBullet"/>
      </w:pPr>
      <w:r>
        <w:rPr>
          <w:rFonts w:ascii="Consolas" w:hAnsi="Consolas"/>
          <w:color w:val="94A3B8"/>
          <w:sz w:val="20"/>
        </w:rPr>
        <w:t>.console-line: flex 布局, badge + timestamp + message</w:t>
      </w:r>
    </w:p>
    <w:p>
      <w:pPr>
        <w:pStyle w:val="ListBullet"/>
      </w:pPr>
      <w:r>
        <w:rPr>
          <w:rFonts w:ascii="Consolas" w:hAnsi="Consolas"/>
          <w:color w:val="94A3B8"/>
          <w:sz w:val="20"/>
        </w:rPr>
        <w:t>.console-line 动画: 逐行延迟 0.1s</w:t>
      </w:r>
    </w:p>
    <w:p>
      <w:pPr>
        <w:pStyle w:val="Heading2"/>
      </w:pPr>
      <w:r>
        <w:rPr>
          <w:rFonts w:ascii="Calibri" w:hAnsi="Calibri"/>
          <w:color w:val="6366F1"/>
        </w:rPr>
        <w:t>3.4 Status Pill Badge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状态标签从 Ant Design Tag 改造为 Status Pill: 圆角 20px 胶囊形状，半透明背景色，带颜色的圆点指示器，运行中状态使用 CSS animation 实现脉冲呼吸效果。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268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2268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背景透明度</w:t>
            </w:r>
          </w:p>
        </w:tc>
        <w:tc>
          <w:tcPr>
            <w:tcW w:type="dxa" w:w="2268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动画</w:t>
            </w:r>
          </w:p>
        </w:tc>
      </w:tr>
      <w:tr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运行中</w:t>
            </w:r>
          </w:p>
        </w:tc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#34D399</w:t>
            </w:r>
          </w:p>
        </w:tc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0.12</w:t>
            </w:r>
          </w:p>
        </w:tc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脉冲: opacity 1&lt;-&gt;0.5</w:t>
            </w:r>
          </w:p>
        </w:tc>
      </w:tr>
      <w:tr>
        <w:tc>
          <w:tcPr>
            <w:tcW w:type="dxa" w:w="2268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已完成</w:t>
            </w:r>
          </w:p>
        </w:tc>
        <w:tc>
          <w:tcPr>
            <w:tcW w:type="dxa" w:w="2268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#60A5FA</w:t>
            </w:r>
          </w:p>
        </w:tc>
        <w:tc>
          <w:tcPr>
            <w:tcW w:type="dxa" w:w="2268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0.12</w:t>
            </w:r>
          </w:p>
        </w:tc>
        <w:tc>
          <w:tcPr>
            <w:tcW w:type="dxa" w:w="2268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无</w:t>
            </w:r>
          </w:p>
        </w:tc>
      </w:tr>
      <w:tr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失败</w:t>
            </w:r>
          </w:p>
        </w:tc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#F87171</w:t>
            </w:r>
          </w:p>
        </w:tc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0.12</w:t>
            </w:r>
          </w:p>
        </w:tc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无</w:t>
            </w:r>
          </w:p>
        </w:tc>
      </w:tr>
      <w:tr>
        <w:tc>
          <w:tcPr>
            <w:tcW w:type="dxa" w:w="2268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排队中</w:t>
            </w:r>
          </w:p>
        </w:tc>
        <w:tc>
          <w:tcPr>
            <w:tcW w:type="dxa" w:w="2268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#FBBF24</w:t>
            </w:r>
          </w:p>
        </w:tc>
        <w:tc>
          <w:tcPr>
            <w:tcW w:type="dxa" w:w="2268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0.12</w:t>
            </w:r>
          </w:p>
        </w:tc>
        <w:tc>
          <w:tcPr>
            <w:tcW w:type="dxa" w:w="2268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无</w:t>
            </w:r>
          </w:p>
        </w:tc>
      </w:tr>
      <w:tr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已暂停</w:t>
            </w:r>
          </w:p>
        </w:tc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#94A3B8</w:t>
            </w:r>
          </w:p>
        </w:tc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0.12</w:t>
            </w:r>
          </w:p>
        </w:tc>
        <w:tc>
          <w:tcPr>
            <w:tcW w:type="dxa" w:w="2268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无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6366F1"/>
        </w:rPr>
        <w:t>3.5 ECharts 数据可视化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数据图表通过 ECharts 实现，全部适配暗色主题。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Stacked Area Chart: 按采集层级分色，半透明渐变填充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Kafka Lag Trend: 双线图展示各 Partition Lag 变化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Task Status Donut: 镂空中心显示总数，外环按状态分色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Error Rate Trend: 折线图 + markLine 阈值线(5%)，超出显示警告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统一 margins: left 42 / right 16 / top 30 / bottom 26</w:t>
      </w:r>
    </w:p>
    <w:p>
      <w:pPr>
        <w:pStyle w:val="Heading2"/>
      </w:pPr>
      <w:r>
        <w:rPr>
          <w:rFonts w:ascii="Calibri" w:hAnsi="Calibri"/>
          <w:color w:val="6366F1"/>
        </w:rPr>
        <w:t>3.6 Premium Layout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主布局特性的改造要点: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Sider: background #0A1628 + 右侧渐变装饰线, hover 左侧 3px 蓝色内边框 + 背景渐变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Header: 玻璃拟态 rgba(15,23,42,0.72), backdrop-filter blur(8px), 底部 1px 分隔线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Hotkey Badge: 菜单项右侧显示快捷键提示 (F/J/T/P)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Section 标记: 分组标题 10px 全大写灰色字体 + 左侧蓝色圆点</w:t>
      </w:r>
    </w:p>
    <w:p>
      <w:pPr>
        <w:pStyle w:val="Heading1"/>
      </w:pPr>
      <w:r>
        <w:rPr>
          <w:rFonts w:ascii="Calibri" w:hAnsi="Calibri"/>
          <w:color w:val="3B82F6"/>
        </w:rPr>
        <w:t>第四章  用户体验流程分析</w:t>
      </w:r>
    </w:p>
    <w:p>
      <w:pPr>
        <w:pStyle w:val="Heading2"/>
      </w:pPr>
      <w:r>
        <w:rPr>
          <w:rFonts w:ascii="Calibri" w:hAnsi="Calibri"/>
          <w:color w:val="6366F1"/>
        </w:rPr>
        <w:t>4.1 用户核心旅程</w:t>
      </w:r>
    </w:p>
    <w:p>
      <w:pPr>
        <w:spacing w:after="120" w:line="360" w:lineRule="auto"/>
      </w:pPr>
      <w:r>
        <w:rPr>
          <w:rFonts w:ascii="Calibri" w:hAnsi="Calibri"/>
          <w:b w:val="0"/>
          <w:color w:val="F1F5F9"/>
          <w:sz w:val="22"/>
        </w:rPr>
        <w:t>基于 Tellius 的设计理念，Spider 平台的用户体验流程围绕以下核心旅程展开: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关键交互与内容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1. 进入与概览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Dashboard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Hero 区域 -&gt; TopMetrics 4卡片 -&gt; 步骤指示器 -&gt; ChartsGrid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2. 任务管理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TaskCenter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状态标签切换 -&gt; 模板/日期筛选 -&gt; 卡片/列表视图 -&gt; 任务操作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3. 模板管理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Templates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搜索/类型筛选 -&gt; 模板卡片 -&gt; 编辑YAML -&gt; 新建模板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4. AI智能采集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AI Collect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输入URL -&gt; AI分析(SSE流式) -&gt; 字段确认 -&gt; 试采验证 -&gt; 保存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5. 管道监控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Pipeline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拓扑图可视化 -&gt; 节点状态实时更新 -&gt; 吞吐/Lag数据展示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6366F1"/>
        </w:rPr>
        <w:t>4.2 设计原则与实践映射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设计原则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实践体现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渐进式披露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Progressive Disclosure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Dashboard -&gt; Steps -&gt; Detail Pages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即时反馈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Immediate Feedback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SSE 流式分析、脉冲动画、hover 微交互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功能可视化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Functional Visualization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Pipeline Topology 拓扑图、数据图表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一致性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Consistency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统一 Premium Card + Status Pill + Glass Morphism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容错与引导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Error Prevention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EmptyState 引导按钮、ErrorBoundary、表单验证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B82F6"/>
        </w:rPr>
        <w:t>第五章  技术实现概览</w:t>
      </w:r>
    </w:p>
    <w:p>
      <w:pPr>
        <w:pStyle w:val="Heading2"/>
      </w:pPr>
      <w:r>
        <w:rPr>
          <w:rFonts w:ascii="Calibri" w:hAnsi="Calibri"/>
          <w:color w:val="6366F1"/>
        </w:rPr>
        <w:t>5.1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3024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前端框架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React 18 + TypeScript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函数组件 + Hooks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UI 组件库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Ant Design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暗色主题配置、自定义 Token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图表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ECharts + echarts-for-react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暗色主题自适应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样式方案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CSS + CSS Modules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设计 Token 统一管理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字体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Google Fonts: Inter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@import 引用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路由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React Router v6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SPA 路由管理</w:t>
            </w:r>
          </w:p>
        </w:tc>
      </w:tr>
      <w:tr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状态管理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Zustand</w:t>
            </w:r>
          </w:p>
        </w:tc>
        <w:tc>
          <w:tcPr>
            <w:tcW w:type="dxa" w:w="3024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轻量级状态管理</w:t>
            </w:r>
          </w:p>
        </w:tc>
      </w:tr>
      <w:tr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构建工具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Vite</w:t>
            </w:r>
          </w:p>
        </w:tc>
        <w:tc>
          <w:tcPr>
            <w:tcW w:type="dxa" w:w="3024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快速开发与构建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6366F1"/>
        </w:rPr>
        <w:t>5.2 关键文件清单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4536"/>
            <w:shd w:fill="3B82F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改造内容</w:t>
            </w:r>
          </w:p>
        </w:tc>
      </w:tr>
      <w:tr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web-panel/src/theme/tokens.ts</w:t>
            </w:r>
          </w:p>
        </w:tc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设计 Token 定义(色彩/字体/阴影/渐变)</w:t>
            </w:r>
          </w:p>
        </w:tc>
      </w:tr>
      <w:tr>
        <w:tc>
          <w:tcPr>
            <w:tcW w:type="dxa" w:w="4536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web-panel/src/styles/global.css</w:t>
            </w:r>
          </w:p>
        </w:tc>
        <w:tc>
          <w:tcPr>
            <w:tcW w:type="dxa" w:w="4536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全面重写: 玻璃拟态/步骤指示器/MissionCard/动画/响应式</w:t>
            </w:r>
          </w:p>
        </w:tc>
      </w:tr>
      <w:tr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web-panel/src/layouts/MainLayout.tsx</w:t>
            </w:r>
          </w:p>
        </w:tc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Premium Layout: 玻璃拟态 Sider+Header+渐变</w:t>
            </w:r>
          </w:p>
        </w:tc>
      </w:tr>
      <w:tr>
        <w:tc>
          <w:tcPr>
            <w:tcW w:type="dxa" w:w="4536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web-panel/src/pages/Dashboard/index.tsx</w:t>
            </w:r>
          </w:p>
        </w:tc>
        <w:tc>
          <w:tcPr>
            <w:tcW w:type="dxa" w:w="4536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Hero+HowItWorks(01/02/03)+AnimatedMetrics+CTA</w:t>
            </w:r>
          </w:p>
        </w:tc>
      </w:tr>
      <w:tr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web-panel/src/pages/Dashboard/TopMetrics.tsx</w:t>
            </w:r>
          </w:p>
        </w:tc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PremiumCard+Sparkline+趋势箭头+渐变图标</w:t>
            </w:r>
          </w:p>
        </w:tc>
      </w:tr>
      <w:tr>
        <w:tc>
          <w:tcPr>
            <w:tcW w:type="dxa" w:w="4536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web-panel/src/pages/Dashboard/Charts.tsx</w:t>
            </w:r>
          </w:p>
        </w:tc>
        <w:tc>
          <w:tcPr>
            <w:tcW w:type="dxa" w:w="4536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ECharts 暗色主题+StackedArea/Donut/Line/MarkLine</w:t>
            </w:r>
          </w:p>
        </w:tc>
      </w:tr>
      <w:tr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web-panel/src/pages/TaskCenter/TaskCard.tsx</w:t>
            </w:r>
          </w:p>
        </w:tc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GlassCard+渐变图标+Console 日志动画</w:t>
            </w:r>
          </w:p>
        </w:tc>
      </w:tr>
      <w:tr>
        <w:tc>
          <w:tcPr>
            <w:tcW w:type="dxa" w:w="4536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web-panel/src/components/StatusBadge.tsx</w:t>
            </w:r>
          </w:p>
        </w:tc>
        <w:tc>
          <w:tcPr>
            <w:tcW w:type="dxa" w:w="4536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StatusPill: 胶囊+脉冲动画</w:t>
            </w:r>
          </w:p>
        </w:tc>
      </w:tr>
      <w:tr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web-panel/src/components/DataCard.tsx</w:t>
            </w:r>
          </w:p>
        </w:tc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PremiumDataCard+内联SVG Sparkline</w:t>
            </w:r>
          </w:p>
        </w:tc>
      </w:tr>
      <w:tr>
        <w:tc>
          <w:tcPr>
            <w:tcW w:type="dxa" w:w="4536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web-panel/src/components/PageHeader.tsx</w:t>
            </w:r>
          </w:p>
        </w:tc>
        <w:tc>
          <w:tcPr>
            <w:tcW w:type="dxa" w:w="4536"/>
            <w:shd w:fill="0F172A"/>
          </w:tcPr>
          <w:p>
            <w:r>
              <w:rPr>
                <w:rFonts w:ascii="Calibri" w:hAnsi="Calibri"/>
                <w:color w:val="F1F5F9"/>
                <w:sz w:val="20"/>
              </w:rPr>
              <w:t>Breadcrumb+Title+Subtitle+Divider</w:t>
            </w:r>
          </w:p>
        </w:tc>
      </w:tr>
      <w:tr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web-panel/src/components/EmptyState.tsx</w:t>
            </w:r>
          </w:p>
        </w:tc>
        <w:tc>
          <w:tcPr>
            <w:tcW w:type="dxa" w:w="4536"/>
            <w:shd w:fill="15233D"/>
          </w:tcPr>
          <w:p>
            <w:r>
              <w:rPr>
                <w:rFonts w:ascii="Calibri" w:hAnsi="Calibri"/>
                <w:color w:val="F1F5F9"/>
                <w:sz w:val="20"/>
              </w:rPr>
              <w:t>PremiumEmptyState: 80px 蓝色背景图标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B82F6"/>
        </w:rPr>
        <w:t>第六章  总结与展望</w:t>
      </w:r>
    </w:p>
    <w:p>
      <w:pPr>
        <w:pStyle w:val="Heading2"/>
      </w:pPr>
      <w:r>
        <w:rPr>
          <w:rFonts w:ascii="Calibri" w:hAnsi="Calibri"/>
          <w:color w:val="6366F1"/>
        </w:rPr>
        <w:t>6.1 改造成果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建立了完整的暗色主题设计系统, 包含 12+ 语义色、6 类梯度色组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实现「一功能一色」的视觉辨识策略, 每个核心指标拥有独立语义色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引入玻璃拟态设计, 构建 3 维视觉层次感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建立多层阴影系统 (Card / Elevated / Glow / Nav)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完整复刻 Tellius 步骤指示器 (01/02/03) 叙事布局模式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实现 6 种 CSS 动画 (fade-in-up / stagger / pulse / hover / console-fade / nav-hover)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所有 ECharts 图表适配暗色主题, 支持 MarkLine 阈值线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Status Pill 等多状态展示组件实现脉冲呼吸动画</w:t>
      </w:r>
    </w:p>
    <w:p>
      <w:pPr>
        <w:pStyle w:val="Heading2"/>
      </w:pPr>
      <w:r>
        <w:rPr>
          <w:rFonts w:ascii="Calibri" w:hAnsi="Calibri"/>
          <w:color w:val="6366F1"/>
        </w:rPr>
        <w:t>6.2 后续优化方向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主题切换支持: 实现暗色/亮色双主题无缝切换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自定义仪表盘: 允许用户拖拽配置指标卡片和图表布局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AI 分析页增强: 完善 SSE 流式分析的可视化展示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移动端适配: 针对平板和手机进行响应式布局优化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国际化: 支持中英文等多语言切换</w:t>
      </w:r>
    </w:p>
    <w:p>
      <w:pPr>
        <w:pStyle w:val="ListBullet"/>
      </w:pPr>
      <w:r>
        <w:rPr>
          <w:rFonts w:ascii="Calibri" w:hAnsi="Calibri"/>
          <w:color w:val="F1F5F9"/>
          <w:sz w:val="22"/>
        </w:rPr>
        <w:t>可访问性: 增加 ARIA 标签和键盘导航支持</w:t>
      </w:r>
    </w:p>
    <w:p/>
    <w:p>
      <w:pPr>
        <w:jc w:val="center"/>
      </w:pPr>
      <w:r>
        <w:rPr>
          <w:rFonts w:ascii="Calibri" w:hAnsi="Calibri"/>
          <w:color w:val="64748B"/>
          <w:sz w:val="22"/>
        </w:rPr>
        <w:t>--- 报告结束 ---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