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Microsoft YaHei"/>
          <w:b/>
          <w:color w:val="000000"/>
          <w:sz w:val="40"/>
        </w:rPr>
        <w:t>SEC EDGAR PostgreSQL ODS 表定义</w:t>
      </w:r>
    </w:p>
    <w:p>
      <w:pPr>
        <w:spacing w:after="280"/>
        <w:jc w:val="center"/>
      </w:pPr>
      <w:r>
        <w:rPr>
          <w:rFonts w:ascii="Aptos" w:hAnsi="Aptos" w:eastAsia="Microsoft YaHei"/>
          <w:b w:val="0"/>
          <w:color w:val="404040"/>
          <w:sz w:val="20"/>
        </w:rPr>
        <w:t>基于项目 ETL 配置与当前应用 DDL</w:t>
      </w:r>
    </w:p>
    <w:p>
      <w:pPr>
        <w:spacing w:after="140"/>
      </w:pPr>
      <w:r>
        <w:rPr>
          <w:rFonts w:ascii="Aptos" w:hAnsi="Aptos" w:eastAsia="Microsoft YaHei"/>
          <w:b/>
          <w:color w:val="000000"/>
          <w:sz w:val="18"/>
        </w:rPr>
        <w:t>结论。</w:t>
      </w:r>
      <w:r>
        <w:rPr>
          <w:rFonts w:ascii="Aptos" w:hAnsi="Aptos" w:eastAsia="Microsoft YaHei"/>
          <w:b w:val="0"/>
          <w:color w:val="000000"/>
          <w:sz w:val="18"/>
        </w:rPr>
        <w:t xml:space="preserve"> 当前应用的 SEC EDGAR ODS 物理表为 ods_company、ods_filing、ods_filing_document 和 ods_financial_fact。本文以应用运行时的 PostgreSQL 连接解析方式、DDL 注册表和 ODS 写入 SQL 为准，作为后续数据库校正与采集链路验收的统一依据。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1 连接与核查范围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20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配置来源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.env 中的 SPIDER_PG_URL 与 SPIDER_PG_DB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连接解析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app.storage.postgres_client._resolved_pg_url 将 SPIDER_PG_DB 追加到未含数据库名的 SPIDER_PG_URL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目标库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dw_etl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目标 schema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ts_ods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核查基准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app/storage/etl_metadata_store.py 的 ODS DDL 与 app/etl/ts_ods.py 的 INSERT/UPSERT 合约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凭据处理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本文不记录主机、账号、密码或完整连接串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ptos" w:hAnsi="Aptos" w:eastAsia="Microsoft YaHei"/>
          <w:b/>
          <w:color w:val="000000"/>
          <w:sz w:val="18"/>
        </w:rPr>
        <w:t>核查边界。</w:t>
      </w:r>
      <w:r>
        <w:rPr>
          <w:rFonts w:ascii="Aptos" w:hAnsi="Aptos" w:eastAsia="Microsoft YaHei"/>
          <w:b w:val="0"/>
          <w:color w:val="000000"/>
          <w:sz w:val="18"/>
        </w:rPr>
        <w:t xml:space="preserve"> 本次运行环境无法建立到目标数据库的网络连接，因此下文是“应用定义基准”，不是一次已完成的实时 information_schema 快照。上线前应在可访问数据库的运行环境执行只读结构校验。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2 最终物理表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44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表</w:t>
            </w:r>
          </w:p>
        </w:tc>
        <w:tc>
          <w:tcPr>
            <w:tcW w:type="dxa" w:w="1872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粒度</w:t>
            </w:r>
          </w:p>
        </w:tc>
        <w:tc>
          <w:tcPr>
            <w:tcW w:type="dxa" w:w="374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08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主键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ts_ods.ods_company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一个 SEC 主体 / CIK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公司主体、证券标识与地址信息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record_id, data_source, data_type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ts_ods.ods_filing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一次申报 / accession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申报元数据、报告期、XBRL 状态与索引 URL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record_id, data_source, data_type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ts_ods.ods_filing_document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申报内一个文件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申报附件、数据文件或 XBRL 文件索引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record_id, data_source, data_type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ts_ods.ods_financial_fact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一个概念单位期间事实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Company Facts 标准化财务指标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record_id, data_source, data_type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3 表字段定义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3.1 ts_ods.ods_company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65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01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446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record_id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 / PK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ODS 稳定记录标识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data_source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 / PK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来源标识，SEC 为 sec_edgar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data_type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 / PK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默认 financial_company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cik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SEC 业务键，建议固定为 10 位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name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SEC 注册主体名称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entity_type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实体类型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exchanges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JSONB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交易所数组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tickers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JSONB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证券代码数组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sic / sic_description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行业代码及描述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address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JSONB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地址对象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website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官网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kafka_offset / partition / topic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BIGINT / INTEGER / 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消费溯源元数据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created_at / updated_at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创建与更新时间，默认 now()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3.2 ts_ods.ods_filing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65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01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446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record_id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 / PK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申报记录标识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data_source / data_type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 / PK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来源与类型，data_type 默认 filing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cik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关联 SEC 主体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accession_number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SEC 申报编号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form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10-K、10-Q、8-K 等表单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filing_date / report_date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申报日与报告期结束日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acceptance_datetime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SEC 接收时间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act / file_number / film_number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SEC 申报元数据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items / core_type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表单条目与核心类型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size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BIGINT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申报文件大小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is_xbrl / is_inline_xbrl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XBRL 标识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filing_base / filing_index_url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归档基础地址和索引地址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kafka_offset / partition / topic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BIGINT / INTEGER / 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消费溯源元数据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created_at / updated_at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创建与更新时间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3.3 ts_ods.ods_filing_document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65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01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446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record_id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 / PK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文件记录标识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data_source / data_type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 / PK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来源与类型，data_type 默认 filing_document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cik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关联 SEC 主体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accession_number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关联申报编号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sequence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SEC 文件序号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description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文件说明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filename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文件名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size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SEC 返回的文件大小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url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SEC 文件地址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doc_type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文件类型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created_at / updated_at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创建与更新时间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3.4 ts_ods.ods_financial_fact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65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01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446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record_id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 / PK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事实稳定标识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data_source / data_type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 / PK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来源与类型，data_type 默认 financial_fact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cik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SEC 公司标识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entity_name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Company Facts entityName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taxonomy / concept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分类法与概念名称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concept_label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概念可读名称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unit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USD、shares 等单位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value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NUMERIC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原始数值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accn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SEC accession number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form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事实来源表单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filed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SEC filed 日期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fy / fp / frame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INTEGER / TEXT / TEXT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财政年度、期间与 SEC frame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start_date / end_date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可空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事实期间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is_amendment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修订标识，默认 false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created_at / updated_at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TIMESTAMPTZ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创建与更新时间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4 已定义索引与关联口径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表</w:t>
            </w:r>
          </w:p>
        </w:tc>
        <w:tc>
          <w:tcPr>
            <w:tcW w:type="dxa" w:w="468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当前索引</w:t>
            </w:r>
          </w:p>
        </w:tc>
        <w:tc>
          <w:tcPr>
            <w:tcW w:type="dxa" w:w="360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ods_company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idx_ods_company_cik (cik)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按 SEC 主体查询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ods_filing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idx_ods_filing_accession (accession_number); idx_ods_filing_cik (cik)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按申报或主体查询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ods_filing_document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idx_ods_filing_document_accession (accession_number)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按申报查询文件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ods_financial_fact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accn; cik + end_date DESC; taxonomy + concept; filed DESC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按申报、主体期间、指标与申报日期检索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000000"/>
          <w:sz w:val="18"/>
        </w:rPr>
        <w:t>公司与申报以 cik 关联；名称仅用于展示或候选匹配。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000000"/>
          <w:sz w:val="18"/>
        </w:rPr>
        <w:t>申报与文件、财务事实以 accession_number 或事实表 accn 追溯。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000000"/>
          <w:sz w:val="18"/>
        </w:rPr>
        <w:t>事实查询中的 accn 是当前物理列名；新增或改名字段前需同步 normalizer、UPSERT SQL 和历史数据迁移。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5 与原财报表定义草稿的对齐结论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316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最终采用</w:t>
            </w:r>
          </w:p>
        </w:tc>
        <w:tc>
          <w:tcPr>
            <w:tcW w:type="dxa" w:w="518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处理原则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申报表名称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ods_filing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采用项目现有物理表名。草稿中 ods_financial_filing 不另建重复表。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财务事实列名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accn、form、filed、start_date、end_date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保持当前物理列与 ETL 写入合约，业务文档可将其解释为 accession number、form type、filed date、period start/end。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文件对象存储字段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当前未定义 object_key、content_hash、download_status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不在本次文档中虚构为现有字段；如需纳入，须单独出具兼容迁移并同步下载链路。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业务唯一性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主键为 record_id + data_source + data_type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事实表可在清洗层按 cik、accn、taxonomy、concept、unit、end_date、value 做业务去重。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6 上线前只读验收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000000"/>
          <w:sz w:val="18"/>
        </w:rPr>
        <w:t>使用 .env 的 SPIDER_PG_URL 与 SPIDER_PG_DB，经 _resolved_pg_url 解析后连接目标库。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000000"/>
          <w:sz w:val="18"/>
        </w:rPr>
        <w:t>查询 information_schema.tables、information_schema.columns 与 pg_indexes，确认四张表、字段类型、非空约束、主键和索引。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000000"/>
          <w:sz w:val="18"/>
        </w:rPr>
        <w:t>抽样验证 ODS 写入：公司、申报、文件和财务事实各一条，确认 UPSERT 不改变 data_source/data_type 主键语义。</w:t>
      </w:r>
    </w:p>
    <w:p>
      <w:pPr>
        <w:pStyle w:val="ListBullet"/>
        <w:spacing w:after="60"/>
      </w:pPr>
      <w:r>
        <w:rPr>
          <w:rFonts w:ascii="Aptos" w:hAnsi="Aptos" w:eastAsia="Microsoft YaHei"/>
          <w:b w:val="0"/>
          <w:color w:val="000000"/>
          <w:sz w:val="18"/>
        </w:rPr>
        <w:t>任何新增字段、列改名或表改名均先生成迁移脚本并在备份或测试库演练；不要直接删除现有表或历史数据。</w:t>
      </w:r>
    </w:p>
    <w:sectPr w:rsidR="00FC693F" w:rsidRPr="0006063C" w:rsidSect="00034616">
      <w:footerReference w:type="default" r:id="rId9"/>
      <w:pgSz w:w="12240" w:h="15840"/>
      <w:pgMar w:top="1008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66666"/>
        <w:sz w:val="16"/>
      </w:rPr>
      <w:t>SEC EDGAR PostgreSQL ODS 表定义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