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00651" w14:textId="3976FF29" w:rsidR="003D5168" w:rsidRDefault="00E94AC4" w:rsidP="001601E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601E9">
        <w:rPr>
          <w:rFonts w:ascii="Times New Roman" w:hAnsi="Times New Roman" w:cs="Times New Roman"/>
          <w:b/>
          <w:bCs/>
          <w:sz w:val="28"/>
          <w:szCs w:val="24"/>
        </w:rPr>
        <w:t xml:space="preserve">The Full Database of Countries with </w:t>
      </w:r>
      <w:r w:rsidR="002E7FA3" w:rsidRPr="001601E9">
        <w:rPr>
          <w:rFonts w:ascii="Times New Roman" w:hAnsi="Times New Roman" w:cs="Times New Roman"/>
          <w:b/>
          <w:bCs/>
          <w:sz w:val="28"/>
          <w:szCs w:val="24"/>
        </w:rPr>
        <w:t>P</w:t>
      </w:r>
      <w:r w:rsidRPr="001601E9">
        <w:rPr>
          <w:rFonts w:ascii="Times New Roman" w:hAnsi="Times New Roman" w:cs="Times New Roman"/>
          <w:b/>
          <w:bCs/>
          <w:sz w:val="28"/>
          <w:szCs w:val="24"/>
        </w:rPr>
        <w:t xml:space="preserve">otential </w:t>
      </w:r>
      <w:r w:rsidR="002E7FA3" w:rsidRPr="001601E9">
        <w:rPr>
          <w:rFonts w:ascii="Times New Roman" w:hAnsi="Times New Roman" w:cs="Times New Roman"/>
          <w:b/>
          <w:bCs/>
          <w:sz w:val="28"/>
          <w:szCs w:val="24"/>
        </w:rPr>
        <w:t xml:space="preserve">COVID-19 </w:t>
      </w:r>
      <w:r w:rsidRPr="001601E9">
        <w:rPr>
          <w:rFonts w:ascii="Times New Roman" w:hAnsi="Times New Roman" w:cs="Times New Roman"/>
          <w:b/>
          <w:bCs/>
          <w:sz w:val="28"/>
          <w:szCs w:val="24"/>
        </w:rPr>
        <w:t xml:space="preserve">Data Manipulation based on </w:t>
      </w:r>
      <w:proofErr w:type="spellStart"/>
      <w:r w:rsidRPr="001601E9">
        <w:rPr>
          <w:rFonts w:ascii="Times New Roman" w:hAnsi="Times New Roman" w:cs="Times New Roman"/>
          <w:b/>
          <w:bCs/>
          <w:sz w:val="28"/>
          <w:szCs w:val="24"/>
        </w:rPr>
        <w:t>Benford’s</w:t>
      </w:r>
      <w:proofErr w:type="spellEnd"/>
      <w:r w:rsidRPr="001601E9">
        <w:rPr>
          <w:rFonts w:ascii="Times New Roman" w:hAnsi="Times New Roman" w:cs="Times New Roman"/>
          <w:b/>
          <w:bCs/>
          <w:sz w:val="28"/>
          <w:szCs w:val="24"/>
        </w:rPr>
        <w:t xml:space="preserve"> Law</w:t>
      </w:r>
    </w:p>
    <w:p w14:paraId="3B4E6666" w14:textId="77777777" w:rsidR="009E54B4" w:rsidRPr="001601E9" w:rsidRDefault="009E54B4" w:rsidP="009E54B4">
      <w:pPr>
        <w:pStyle w:val="NoSpacing"/>
      </w:pPr>
    </w:p>
    <w:p w14:paraId="25278843" w14:textId="2619B2A9" w:rsidR="003412BC" w:rsidRPr="001601E9" w:rsidRDefault="003412BC" w:rsidP="003412BC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01E9">
        <w:rPr>
          <w:rFonts w:ascii="Times New Roman" w:hAnsi="Times New Roman" w:cs="Times New Roman"/>
          <w:sz w:val="28"/>
          <w:szCs w:val="24"/>
        </w:rPr>
        <w:t xml:space="preserve">Ahmad </w:t>
      </w:r>
      <w:proofErr w:type="spellStart"/>
      <w:r w:rsidRPr="001601E9">
        <w:rPr>
          <w:rFonts w:ascii="Times New Roman" w:hAnsi="Times New Roman" w:cs="Times New Roman"/>
          <w:sz w:val="28"/>
          <w:szCs w:val="24"/>
        </w:rPr>
        <w:t>Kilani</w:t>
      </w:r>
      <w:proofErr w:type="spellEnd"/>
      <w:r w:rsidRPr="001601E9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1601E9">
        <w:rPr>
          <w:rFonts w:ascii="Times New Roman" w:hAnsi="Times New Roman" w:cs="Times New Roman"/>
          <w:sz w:val="28"/>
          <w:szCs w:val="24"/>
        </w:rPr>
        <w:t>Georgios</w:t>
      </w:r>
      <w:proofErr w:type="spellEnd"/>
      <w:r w:rsidRPr="001601E9">
        <w:rPr>
          <w:rFonts w:ascii="Times New Roman" w:hAnsi="Times New Roman" w:cs="Times New Roman"/>
          <w:sz w:val="28"/>
          <w:szCs w:val="24"/>
        </w:rPr>
        <w:t xml:space="preserve"> P. Georgiou </w:t>
      </w:r>
    </w:p>
    <w:p w14:paraId="362D8244" w14:textId="0800684E" w:rsidR="00C65CBB" w:rsidRDefault="00C65CBB" w:rsidP="00A35592">
      <w:pPr>
        <w:jc w:val="both"/>
        <w:rPr>
          <w:rFonts w:ascii="Times New Roman" w:hAnsi="Times New Roman" w:cs="Times New Roman"/>
          <w:sz w:val="24"/>
          <w:szCs w:val="24"/>
        </w:rPr>
      </w:pPr>
      <w:r w:rsidRPr="00A35592">
        <w:rPr>
          <w:rFonts w:ascii="Times New Roman" w:hAnsi="Times New Roman" w:cs="Times New Roman"/>
          <w:sz w:val="24"/>
          <w:szCs w:val="24"/>
        </w:rPr>
        <w:t xml:space="preserve">The aim of this database is to provide researchers and scholars a unified database for potential data manipulation by 171 countries regarding their Covid-19 daily reported cases. The </w:t>
      </w:r>
      <w:r w:rsidR="009F0445">
        <w:rPr>
          <w:rFonts w:ascii="Times New Roman" w:hAnsi="Times New Roman" w:cs="Times New Roman"/>
          <w:sz w:val="24"/>
          <w:szCs w:val="24"/>
        </w:rPr>
        <w:t>analysis employs</w:t>
      </w:r>
      <w:r w:rsidRPr="00A35592">
        <w:rPr>
          <w:rFonts w:ascii="Times New Roman" w:hAnsi="Times New Roman" w:cs="Times New Roman"/>
          <w:sz w:val="24"/>
          <w:szCs w:val="24"/>
        </w:rPr>
        <w:t xml:space="preserve"> three different tests </w:t>
      </w:r>
      <w:r w:rsidR="001601E9">
        <w:rPr>
          <w:rFonts w:ascii="Times New Roman" w:hAnsi="Times New Roman" w:cs="Times New Roman"/>
          <w:sz w:val="24"/>
          <w:szCs w:val="24"/>
        </w:rPr>
        <w:t xml:space="preserve">(chi-square, Kuiper, and Mean Absolute Deviation) </w:t>
      </w:r>
      <w:r w:rsidRPr="00A35592">
        <w:rPr>
          <w:rFonts w:ascii="Times New Roman" w:hAnsi="Times New Roman" w:cs="Times New Roman"/>
          <w:sz w:val="24"/>
          <w:szCs w:val="24"/>
        </w:rPr>
        <w:t xml:space="preserve">to determine if the data given by each country in the world fit </w:t>
      </w:r>
      <w:proofErr w:type="spellStart"/>
      <w:r w:rsidRPr="00A35592">
        <w:rPr>
          <w:rFonts w:ascii="Times New Roman" w:hAnsi="Times New Roman" w:cs="Times New Roman"/>
          <w:sz w:val="24"/>
          <w:szCs w:val="24"/>
        </w:rPr>
        <w:t>Benford’s</w:t>
      </w:r>
      <w:proofErr w:type="spellEnd"/>
      <w:r w:rsidRPr="00A35592">
        <w:rPr>
          <w:rFonts w:ascii="Times New Roman" w:hAnsi="Times New Roman" w:cs="Times New Roman"/>
          <w:sz w:val="24"/>
          <w:szCs w:val="24"/>
        </w:rPr>
        <w:t xml:space="preserve"> Law.</w:t>
      </w:r>
    </w:p>
    <w:p w14:paraId="627587BA" w14:textId="4253E7AB" w:rsidR="001601E9" w:rsidRPr="001601E9" w:rsidRDefault="001601E9" w:rsidP="002F1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01E9">
        <w:rPr>
          <w:rFonts w:ascii="Times New Roman" w:hAnsi="Times New Roman" w:cs="Times New Roman"/>
          <w:b/>
          <w:sz w:val="24"/>
          <w:szCs w:val="24"/>
        </w:rPr>
        <w:t>Benford’s</w:t>
      </w:r>
      <w:proofErr w:type="spellEnd"/>
      <w:r w:rsidRPr="001601E9">
        <w:rPr>
          <w:rFonts w:ascii="Times New Roman" w:hAnsi="Times New Roman" w:cs="Times New Roman"/>
          <w:b/>
          <w:sz w:val="24"/>
          <w:szCs w:val="24"/>
        </w:rPr>
        <w:t xml:space="preserve"> law</w:t>
      </w:r>
    </w:p>
    <w:p w14:paraId="23D63906" w14:textId="46FB276E" w:rsidR="002F1601" w:rsidRPr="002F1601" w:rsidRDefault="00807E34" w:rsidP="002F16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Benford’s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 (BL)</w:t>
      </w:r>
      <w:r w:rsidR="002F1601" w:rsidRPr="002F1601">
        <w:rPr>
          <w:rFonts w:ascii="Times New Roman" w:hAnsi="Times New Roman" w:cs="Times New Roman"/>
          <w:sz w:val="24"/>
          <w:szCs w:val="24"/>
        </w:rPr>
        <w:t xml:space="preserve"> is extensively used to test the legitimacy of data in numerous applications, such as in finance, economics, and politics. BL indicates that the first digit of a naturally transpire decimal number is more likely to be equal to 1, and the possibilities of the first digit to be equal to the subsequent numbers, decrease progressively. </w:t>
      </w:r>
    </w:p>
    <w:p w14:paraId="6C56685A" w14:textId="77777777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 w:rsidRPr="002F1601">
        <w:rPr>
          <w:rFonts w:ascii="Times New Roman" w:hAnsi="Times New Roman" w:cs="Times New Roman"/>
          <w:sz w:val="24"/>
          <w:szCs w:val="24"/>
        </w:rPr>
        <w:t xml:space="preserve">The formula of BL is as follows, where </w:t>
      </w:r>
      <w:r w:rsidRPr="009F0445">
        <w:rPr>
          <w:rFonts w:ascii="Times New Roman" w:hAnsi="Times New Roman" w:cs="Times New Roman"/>
          <w:i/>
          <w:sz w:val="24"/>
          <w:szCs w:val="24"/>
        </w:rPr>
        <w:t>D</w:t>
      </w:r>
      <w:r w:rsidRPr="002F1601">
        <w:rPr>
          <w:rFonts w:ascii="Times New Roman" w:hAnsi="Times New Roman" w:cs="Times New Roman"/>
          <w:sz w:val="24"/>
          <w:szCs w:val="24"/>
        </w:rPr>
        <w:t xml:space="preserve"> represents the digits between 1 and 9 and P is the probability:</w:t>
      </w:r>
    </w:p>
    <w:p w14:paraId="49EE4858" w14:textId="44359D9B" w:rsidR="002F1601" w:rsidRPr="002F1601" w:rsidRDefault="002F1601" w:rsidP="009F04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F1601">
        <w:rPr>
          <w:rFonts w:ascii="Times New Roman" w:hAnsi="Times New Roman" w:cs="Times New Roman"/>
          <w:i/>
          <w:sz w:val="24"/>
          <w:szCs w:val="24"/>
        </w:rPr>
        <w:t>P(</w:t>
      </w:r>
      <w:proofErr w:type="gramEnd"/>
      <w:r w:rsidRPr="002F1601">
        <w:rPr>
          <w:rFonts w:ascii="Times New Roman" w:hAnsi="Times New Roman" w:cs="Times New Roman"/>
          <w:i/>
          <w:sz w:val="24"/>
          <w:szCs w:val="24"/>
        </w:rPr>
        <w:t>d)</w:t>
      </w:r>
      <w:r w:rsidRPr="002F1601">
        <w:rPr>
          <w:rFonts w:ascii="Times New Roman" w:hAnsi="Times New Roman" w:cs="Times New Roman"/>
          <w:sz w:val="24"/>
          <w:szCs w:val="24"/>
        </w:rPr>
        <w:t xml:space="preserve"> = log</w:t>
      </w:r>
      <w:r w:rsidRPr="002F1601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2F1601">
        <w:rPr>
          <w:rFonts w:ascii="Times New Roman" w:hAnsi="Times New Roman" w:cs="Times New Roman"/>
          <w:sz w:val="24"/>
          <w:szCs w:val="24"/>
        </w:rPr>
        <w:t>(</w:t>
      </w:r>
      <w:r w:rsidRPr="002F1601">
        <w:rPr>
          <w:rFonts w:ascii="Times New Roman" w:hAnsi="Times New Roman" w:cs="Times New Roman"/>
          <w:i/>
          <w:sz w:val="24"/>
          <w:szCs w:val="24"/>
        </w:rPr>
        <w:t>d</w:t>
      </w:r>
      <w:r w:rsidRPr="002F1601">
        <w:rPr>
          <w:rFonts w:ascii="Times New Roman" w:hAnsi="Times New Roman" w:cs="Times New Roman"/>
          <w:sz w:val="24"/>
          <w:szCs w:val="24"/>
        </w:rPr>
        <w:t xml:space="preserve"> + 1) – log</w:t>
      </w:r>
      <w:r w:rsidRPr="002F1601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2F1601">
        <w:rPr>
          <w:rFonts w:ascii="Times New Roman" w:hAnsi="Times New Roman" w:cs="Times New Roman"/>
          <w:i/>
          <w:sz w:val="24"/>
          <w:szCs w:val="24"/>
        </w:rPr>
        <w:t>d</w:t>
      </w:r>
      <w:r w:rsidRPr="002F1601">
        <w:rPr>
          <w:rFonts w:ascii="Times New Roman" w:hAnsi="Times New Roman" w:cs="Times New Roman"/>
          <w:sz w:val="24"/>
          <w:szCs w:val="24"/>
        </w:rPr>
        <w:t xml:space="preserve"> = log</w:t>
      </w:r>
      <w:r w:rsidRPr="002F1601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d</m:t>
                </m:r>
              </m:den>
            </m:f>
          </m:e>
        </m:d>
      </m:oMath>
      <w:r w:rsidRPr="002F1601">
        <w:rPr>
          <w:rFonts w:ascii="Times New Roman" w:hAnsi="Times New Roman" w:cs="Times New Roman"/>
          <w:sz w:val="24"/>
          <w:szCs w:val="24"/>
        </w:rPr>
        <w:t>, for (</w:t>
      </w:r>
      <w:r w:rsidRPr="002F1601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Pr="002F1601">
        <w:rPr>
          <w:rFonts w:ascii="Times New Roman" w:hAnsi="Times New Roman" w:cs="Times New Roman"/>
          <w:sz w:val="24"/>
          <w:szCs w:val="24"/>
        </w:rPr>
        <w:t>= 1,…,9)</w:t>
      </w:r>
    </w:p>
    <w:p w14:paraId="555A375A" w14:textId="6E454940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 w:rsidRPr="002F1601">
        <w:rPr>
          <w:rFonts w:ascii="Times New Roman" w:hAnsi="Times New Roman" w:cs="Times New Roman"/>
          <w:sz w:val="24"/>
          <w:szCs w:val="24"/>
        </w:rPr>
        <w:t xml:space="preserve">Using this formula, the expected frequencies for digits in first position are </w:t>
      </w:r>
      <w:r w:rsidR="009F0445">
        <w:rPr>
          <w:rFonts w:ascii="Times New Roman" w:hAnsi="Times New Roman" w:cs="Times New Roman"/>
          <w:sz w:val="24"/>
          <w:szCs w:val="24"/>
        </w:rPr>
        <w:t>illustrated below:</w:t>
      </w:r>
    </w:p>
    <w:tbl>
      <w:tblPr>
        <w:tblStyle w:val="PlainTable2"/>
        <w:tblW w:w="9450" w:type="dxa"/>
        <w:tblInd w:w="-90" w:type="dxa"/>
        <w:tblLayout w:type="fixed"/>
        <w:tblLook w:val="06A0" w:firstRow="1" w:lastRow="0" w:firstColumn="1" w:lastColumn="0" w:noHBand="1" w:noVBand="1"/>
      </w:tblPr>
      <w:tblGrid>
        <w:gridCol w:w="135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2F1601" w:rsidRPr="009F0445" w14:paraId="702608A8" w14:textId="77777777" w:rsidTr="009F0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010A5A4E" w14:textId="77777777" w:rsidR="002F1601" w:rsidRPr="009F0445" w:rsidRDefault="002F1601" w:rsidP="009F04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Digit</w:t>
            </w:r>
          </w:p>
        </w:tc>
        <w:tc>
          <w:tcPr>
            <w:tcW w:w="900" w:type="dxa"/>
            <w:hideMark/>
          </w:tcPr>
          <w:p w14:paraId="05371750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00" w:type="dxa"/>
          </w:tcPr>
          <w:p w14:paraId="2D861BA7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00" w:type="dxa"/>
          </w:tcPr>
          <w:p w14:paraId="0CDF8E80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00" w:type="dxa"/>
          </w:tcPr>
          <w:p w14:paraId="776A7ADC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14:paraId="4AF82E83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00" w:type="dxa"/>
          </w:tcPr>
          <w:p w14:paraId="2E1D3F11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00" w:type="dxa"/>
          </w:tcPr>
          <w:p w14:paraId="33094319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00" w:type="dxa"/>
          </w:tcPr>
          <w:p w14:paraId="055FDA58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00" w:type="dxa"/>
          </w:tcPr>
          <w:p w14:paraId="494827A7" w14:textId="77777777" w:rsidR="002F1601" w:rsidRPr="009F0445" w:rsidRDefault="002F1601" w:rsidP="009F04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2F1601" w:rsidRPr="009F0445" w14:paraId="42FD36C1" w14:textId="77777777" w:rsidTr="009F044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7E2710CF" w14:textId="77777777" w:rsidR="002F1601" w:rsidRPr="009F0445" w:rsidRDefault="002F1601" w:rsidP="009F04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Expected Frequency</w:t>
            </w:r>
          </w:p>
        </w:tc>
        <w:tc>
          <w:tcPr>
            <w:tcW w:w="900" w:type="dxa"/>
            <w:hideMark/>
          </w:tcPr>
          <w:p w14:paraId="3BBCD819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.30103</w:t>
            </w:r>
          </w:p>
        </w:tc>
        <w:tc>
          <w:tcPr>
            <w:tcW w:w="900" w:type="dxa"/>
          </w:tcPr>
          <w:p w14:paraId="56BB1D82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.17609</w:t>
            </w:r>
          </w:p>
        </w:tc>
        <w:tc>
          <w:tcPr>
            <w:tcW w:w="900" w:type="dxa"/>
          </w:tcPr>
          <w:p w14:paraId="6367E9AD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.12494</w:t>
            </w:r>
          </w:p>
        </w:tc>
        <w:tc>
          <w:tcPr>
            <w:tcW w:w="900" w:type="dxa"/>
          </w:tcPr>
          <w:p w14:paraId="247C8FCE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.09691</w:t>
            </w:r>
          </w:p>
        </w:tc>
        <w:tc>
          <w:tcPr>
            <w:tcW w:w="900" w:type="dxa"/>
          </w:tcPr>
          <w:p w14:paraId="59A59246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.07918</w:t>
            </w:r>
          </w:p>
        </w:tc>
        <w:tc>
          <w:tcPr>
            <w:tcW w:w="900" w:type="dxa"/>
          </w:tcPr>
          <w:p w14:paraId="3FE9695C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.06695</w:t>
            </w:r>
          </w:p>
        </w:tc>
        <w:tc>
          <w:tcPr>
            <w:tcW w:w="900" w:type="dxa"/>
          </w:tcPr>
          <w:p w14:paraId="787BD7C5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.05799</w:t>
            </w:r>
          </w:p>
        </w:tc>
        <w:tc>
          <w:tcPr>
            <w:tcW w:w="900" w:type="dxa"/>
          </w:tcPr>
          <w:p w14:paraId="4211893E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.05115</w:t>
            </w:r>
          </w:p>
        </w:tc>
        <w:tc>
          <w:tcPr>
            <w:tcW w:w="900" w:type="dxa"/>
          </w:tcPr>
          <w:p w14:paraId="35CADFEC" w14:textId="77777777" w:rsidR="002F1601" w:rsidRPr="009F0445" w:rsidRDefault="002F1601" w:rsidP="009F0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F0445">
              <w:rPr>
                <w:rFonts w:ascii="Times New Roman" w:hAnsi="Times New Roman" w:cs="Times New Roman"/>
                <w:sz w:val="24"/>
              </w:rPr>
              <w:t>.04576</w:t>
            </w:r>
          </w:p>
        </w:tc>
      </w:tr>
    </w:tbl>
    <w:p w14:paraId="0C69F917" w14:textId="77777777" w:rsidR="002F1601" w:rsidRDefault="002F1601" w:rsidP="002F160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7EB5D52" w14:textId="28AC3F2D" w:rsidR="001601E9" w:rsidRPr="001601E9" w:rsidRDefault="001601E9" w:rsidP="002F1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1E9">
        <w:rPr>
          <w:rFonts w:ascii="Times New Roman" w:hAnsi="Times New Roman" w:cs="Times New Roman"/>
          <w:b/>
          <w:sz w:val="24"/>
          <w:szCs w:val="24"/>
        </w:rPr>
        <w:t>Tests</w:t>
      </w:r>
    </w:p>
    <w:p w14:paraId="7D8BF8DD" w14:textId="4534DB81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F1601">
        <w:rPr>
          <w:rFonts w:ascii="Times New Roman" w:hAnsi="Times New Roman" w:cs="Times New Roman"/>
          <w:sz w:val="24"/>
          <w:szCs w:val="24"/>
        </w:rPr>
        <w:t>To measure the difference between the observed and expected first digit BL distribution for a country we use</w:t>
      </w:r>
      <w:r w:rsidR="005A07DD">
        <w:rPr>
          <w:rFonts w:ascii="Times New Roman" w:hAnsi="Times New Roman" w:cs="Times New Roman"/>
          <w:sz w:val="24"/>
          <w:szCs w:val="24"/>
        </w:rPr>
        <w:t>d</w:t>
      </w:r>
      <w:r w:rsidRPr="002F1601">
        <w:rPr>
          <w:rFonts w:ascii="Times New Roman" w:hAnsi="Times New Roman" w:cs="Times New Roman"/>
          <w:sz w:val="24"/>
          <w:szCs w:val="24"/>
        </w:rPr>
        <w:t xml:space="preserve"> a </w:t>
      </w:r>
      <w:r w:rsidRPr="002F1601">
        <w:rPr>
          <w:rFonts w:ascii="Times New Roman" w:hAnsi="Times New Roman" w:cs="Times New Roman"/>
          <w:i/>
          <w:sz w:val="24"/>
          <w:szCs w:val="24"/>
        </w:rPr>
        <w:t xml:space="preserve">chi-square </w:t>
      </w:r>
      <w:r w:rsidRPr="005A07DD">
        <w:rPr>
          <w:rFonts w:ascii="Times New Roman" w:hAnsi="Times New Roman" w:cs="Times New Roman"/>
          <w:sz w:val="24"/>
          <w:szCs w:val="24"/>
        </w:rPr>
        <w:t>test,</w:t>
      </w:r>
      <w:r w:rsidRPr="002F1601">
        <w:rPr>
          <w:rFonts w:ascii="Times New Roman" w:hAnsi="Times New Roman" w:cs="Times New Roman"/>
          <w:sz w:val="24"/>
          <w:szCs w:val="24"/>
        </w:rPr>
        <w:t xml:space="preserve"> which is based on the formula below:</w:t>
      </w:r>
      <w:r w:rsidRPr="002F160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7DD73E20" w14:textId="520D9A2A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=∑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Εi</m:t>
              </m:r>
            </m:den>
          </m:f>
        </m:oMath>
      </m:oMathPara>
    </w:p>
    <w:p w14:paraId="45775DF7" w14:textId="23C3DBEC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 w:rsidRPr="002F1601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Oi </m:t>
        </m:r>
      </m:oMath>
      <w:r w:rsidRPr="002F1601">
        <w:rPr>
          <w:rFonts w:ascii="Times New Roman" w:hAnsi="Times New Roman" w:cs="Times New Roman"/>
          <w:sz w:val="24"/>
          <w:szCs w:val="24"/>
        </w:rPr>
        <w:t xml:space="preserve">is the observed and </w:t>
      </w:r>
      <m:oMath>
        <m:r>
          <w:rPr>
            <w:rFonts w:ascii="Cambria Math" w:hAnsi="Cambria Math" w:cs="Times New Roman"/>
            <w:sz w:val="24"/>
            <w:szCs w:val="24"/>
          </w:rPr>
          <m:t>Ei</m:t>
        </m:r>
      </m:oMath>
      <w:r w:rsidRPr="002F1601">
        <w:rPr>
          <w:rFonts w:ascii="Times New Roman" w:hAnsi="Times New Roman" w:cs="Times New Roman"/>
          <w:sz w:val="24"/>
          <w:szCs w:val="24"/>
        </w:rPr>
        <w:t xml:space="preserve"> is the expected absolute frequencies for </w:t>
      </w:r>
      <w:proofErr w:type="gramStart"/>
      <w:r w:rsidRPr="002F1601">
        <w:rPr>
          <w:rFonts w:ascii="Times New Roman" w:hAnsi="Times New Roman" w:cs="Times New Roman"/>
          <w:sz w:val="24"/>
          <w:szCs w:val="24"/>
        </w:rPr>
        <w:t xml:space="preserve">digit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2F16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CAED1" w14:textId="17D5B46A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 w:rsidRPr="002F1601">
        <w:rPr>
          <w:rFonts w:ascii="Times New Roman" w:hAnsi="Times New Roman" w:cs="Times New Roman"/>
          <w:sz w:val="24"/>
          <w:szCs w:val="24"/>
        </w:rPr>
        <w:t xml:space="preserve">The </w:t>
      </w:r>
      <w:r w:rsidRPr="005A07DD">
        <w:rPr>
          <w:rFonts w:ascii="Times New Roman" w:hAnsi="Times New Roman" w:cs="Times New Roman"/>
          <w:i/>
          <w:sz w:val="24"/>
          <w:szCs w:val="24"/>
        </w:rPr>
        <w:t>Kuiper</w:t>
      </w:r>
      <w:r w:rsidRPr="002F1601">
        <w:rPr>
          <w:rFonts w:ascii="Times New Roman" w:hAnsi="Times New Roman" w:cs="Times New Roman"/>
          <w:sz w:val="24"/>
          <w:szCs w:val="24"/>
        </w:rPr>
        <w:t xml:space="preserve"> test (a modified Kolmogorov–Smirnov test) </w:t>
      </w:r>
      <w:r w:rsidR="009F0445">
        <w:rPr>
          <w:rFonts w:ascii="Times New Roman" w:hAnsi="Times New Roman" w:cs="Times New Roman"/>
          <w:sz w:val="24"/>
          <w:szCs w:val="24"/>
        </w:rPr>
        <w:t xml:space="preserve">(Kuiper 1960) </w:t>
      </w:r>
      <w:r w:rsidRPr="002F1601">
        <w:rPr>
          <w:rFonts w:ascii="Times New Roman" w:hAnsi="Times New Roman" w:cs="Times New Roman"/>
          <w:sz w:val="24"/>
          <w:szCs w:val="24"/>
        </w:rPr>
        <w:t xml:space="preserve">ignores sample size and </w:t>
      </w:r>
      <w:r w:rsidR="005A07DD">
        <w:rPr>
          <w:rFonts w:ascii="Times New Roman" w:hAnsi="Times New Roman" w:cs="Times New Roman"/>
          <w:sz w:val="24"/>
          <w:szCs w:val="24"/>
        </w:rPr>
        <w:t xml:space="preserve">it </w:t>
      </w:r>
      <w:r w:rsidRPr="002F1601">
        <w:rPr>
          <w:rFonts w:ascii="Times New Roman" w:hAnsi="Times New Roman" w:cs="Times New Roman"/>
          <w:sz w:val="24"/>
          <w:szCs w:val="24"/>
        </w:rPr>
        <w:t>is based on the following formula:</w:t>
      </w:r>
    </w:p>
    <w:p w14:paraId="71AB327B" w14:textId="35E41461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V=(</m:t>
          </m:r>
          <m:eqArr>
            <m:eqArr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l-GR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+0.155+0,24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e>
          </m:eqArr>
          <m:r>
            <w:rPr>
              <w:rFonts w:ascii="Cambria Math" w:hAnsi="Cambria Math" w:cs="Times New Roman"/>
              <w:sz w:val="24"/>
              <w:szCs w:val="24"/>
              <w:lang w:val="el-GR"/>
            </w:rPr>
            <m:t>)</m:t>
          </m:r>
        </m:oMath>
      </m:oMathPara>
    </w:p>
    <w:p w14:paraId="4FBC9F7B" w14:textId="43960EBD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1601"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 w:rsidRPr="002F1601">
        <w:rPr>
          <w:rFonts w:ascii="Times New Roman" w:hAnsi="Times New Roman" w:cs="Times New Roman"/>
          <w:sz w:val="24"/>
          <w:szCs w:val="24"/>
        </w:rPr>
        <w:t> 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+</m:t>
            </m:r>
          </m:sup>
        </m:sSubSup>
      </m:oMath>
      <w:r w:rsidRPr="002F1601">
        <w:rPr>
          <w:rFonts w:ascii="Times New Roman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sup⁡[F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)-F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)]</m:t>
        </m:r>
      </m:oMath>
      <w:r w:rsidRPr="002F1601">
        <w:rPr>
          <w:rFonts w:ascii="Times New Roman" w:hAnsi="Times New Roman" w:cs="Times New Roman"/>
          <w:sz w:val="24"/>
          <w:szCs w:val="24"/>
        </w:rPr>
        <w:t> and 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-</m:t>
            </m:r>
          </m:sup>
        </m:sSubSup>
      </m:oMath>
      <w:r w:rsidRPr="002F1601">
        <w:rPr>
          <w:rFonts w:ascii="Times New Roman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sup⁡[F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)-F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)]</m:t>
        </m:r>
      </m:oMath>
      <w:r w:rsidRPr="002F1601">
        <w:rPr>
          <w:rFonts w:ascii="Times New Roman" w:hAnsi="Times New Roman" w:cs="Times New Roman"/>
          <w:sz w:val="24"/>
          <w:szCs w:val="24"/>
        </w:rPr>
        <w:t xml:space="preserve">, and F(.) stands for cumulated relative frequencies. The discrepancy statistics </w:t>
      </w:r>
      <w:r w:rsidRPr="002F1601">
        <w:rPr>
          <w:rFonts w:ascii="Times New Roman" w:hAnsi="Times New Roman" w:cs="Times New Roman"/>
          <w:i/>
          <w:sz w:val="24"/>
          <w:szCs w:val="24"/>
        </w:rPr>
        <w:t>D</w:t>
      </w:r>
      <w:r w:rsidRPr="002F1601">
        <w:rPr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Pr="002F1601">
        <w:rPr>
          <w:rFonts w:ascii="Times New Roman" w:hAnsi="Times New Roman" w:cs="Times New Roman"/>
          <w:sz w:val="24"/>
          <w:szCs w:val="24"/>
        </w:rPr>
        <w:t xml:space="preserve"> and </w:t>
      </w:r>
      <w:r w:rsidRPr="002F1601">
        <w:rPr>
          <w:rFonts w:ascii="Times New Roman" w:hAnsi="Times New Roman" w:cs="Times New Roman"/>
          <w:i/>
          <w:sz w:val="24"/>
          <w:szCs w:val="24"/>
        </w:rPr>
        <w:t>D</w:t>
      </w:r>
      <w:r w:rsidRPr="002F1601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Pr="002F1601">
        <w:rPr>
          <w:rFonts w:ascii="Times New Roman" w:hAnsi="Times New Roman" w:cs="Times New Roman"/>
          <w:sz w:val="24"/>
          <w:szCs w:val="24"/>
        </w:rPr>
        <w:t xml:space="preserve"> characterize the absolute sizes of the differences between the two distributions being compared: the absolut</w:t>
      </w:r>
      <w:r w:rsidR="009F0445">
        <w:rPr>
          <w:rFonts w:ascii="Times New Roman" w:hAnsi="Times New Roman" w:cs="Times New Roman"/>
          <w:sz w:val="24"/>
          <w:szCs w:val="24"/>
        </w:rPr>
        <w:t>e and the observed distribution.</w:t>
      </w:r>
    </w:p>
    <w:p w14:paraId="123F02D6" w14:textId="5531F2C7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 w:rsidRPr="002F1601">
        <w:rPr>
          <w:rFonts w:ascii="Times New Roman" w:hAnsi="Times New Roman" w:cs="Times New Roman"/>
          <w:sz w:val="24"/>
          <w:szCs w:val="24"/>
        </w:rPr>
        <w:t xml:space="preserve">The </w:t>
      </w:r>
      <w:r w:rsidRPr="005A07DD">
        <w:rPr>
          <w:rFonts w:ascii="Times New Roman" w:hAnsi="Times New Roman" w:cs="Times New Roman"/>
          <w:i/>
          <w:sz w:val="24"/>
          <w:szCs w:val="24"/>
        </w:rPr>
        <w:t>Mean Absolute Deviation</w:t>
      </w:r>
      <w:r w:rsidR="001601E9" w:rsidRPr="005A07DD">
        <w:rPr>
          <w:rFonts w:ascii="Times New Roman" w:hAnsi="Times New Roman" w:cs="Times New Roman"/>
          <w:i/>
          <w:sz w:val="24"/>
          <w:szCs w:val="24"/>
        </w:rPr>
        <w:t xml:space="preserve"> (MAD)</w:t>
      </w:r>
      <w:r w:rsidRPr="002F1601">
        <w:rPr>
          <w:rFonts w:ascii="Times New Roman" w:hAnsi="Times New Roman" w:cs="Times New Roman"/>
          <w:sz w:val="24"/>
          <w:szCs w:val="24"/>
        </w:rPr>
        <w:t xml:space="preserve"> test that also ignores sample size yet if the data sample size is small it may be inclined to false positives errors, when the results conclude nonconformity from unbiased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537556462"/>
          <w:citation/>
        </w:sdtPr>
        <w:sdtContent>
          <w:r w:rsidRPr="002F160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F1601">
            <w:rPr>
              <w:rFonts w:ascii="Times New Roman" w:hAnsi="Times New Roman" w:cs="Times New Roman"/>
              <w:sz w:val="24"/>
              <w:szCs w:val="24"/>
            </w:rPr>
            <w:instrText xml:space="preserve"> CITATION Mar12 \l 1033 </w:instrText>
          </w:r>
          <w:r w:rsidRPr="002F160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54B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E54B4" w:rsidRPr="009E54B4">
            <w:rPr>
              <w:rFonts w:ascii="Times New Roman" w:hAnsi="Times New Roman" w:cs="Times New Roman"/>
              <w:noProof/>
              <w:sz w:val="24"/>
              <w:szCs w:val="24"/>
            </w:rPr>
            <w:t>(Nigrini 2012)</w:t>
          </w:r>
          <w:r w:rsidRPr="002F160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F1601">
        <w:rPr>
          <w:rFonts w:ascii="Times New Roman" w:hAnsi="Times New Roman" w:cs="Times New Roman"/>
          <w:sz w:val="24"/>
          <w:szCs w:val="24"/>
        </w:rPr>
        <w:t xml:space="preserve">. Henceforth, </w:t>
      </w:r>
      <w:proofErr w:type="spellStart"/>
      <w:r w:rsidRPr="002F1601">
        <w:rPr>
          <w:rFonts w:ascii="Times New Roman" w:hAnsi="Times New Roman" w:cs="Times New Roman"/>
          <w:sz w:val="24"/>
          <w:szCs w:val="24"/>
        </w:rPr>
        <w:t>Nirgini’s</w:t>
      </w:r>
      <w:proofErr w:type="spellEnd"/>
      <w:r w:rsidRPr="002F1601">
        <w:rPr>
          <w:rFonts w:ascii="Times New Roman" w:hAnsi="Times New Roman" w:cs="Times New Roman"/>
          <w:sz w:val="24"/>
          <w:szCs w:val="24"/>
        </w:rPr>
        <w:t xml:space="preserve"> MAD can only be applied to large sample size i.e. the total daily reported cases in the world. Johnson and </w:t>
      </w:r>
      <w:proofErr w:type="spellStart"/>
      <w:r w:rsidRPr="002F1601">
        <w:rPr>
          <w:rFonts w:ascii="Times New Roman" w:hAnsi="Times New Roman" w:cs="Times New Roman"/>
          <w:sz w:val="24"/>
          <w:szCs w:val="24"/>
        </w:rPr>
        <w:t>Weggenmann</w:t>
      </w:r>
      <w:proofErr w:type="spellEnd"/>
      <w:r w:rsidRPr="002F1601">
        <w:rPr>
          <w:rFonts w:ascii="Times New Roman" w:hAnsi="Times New Roman" w:cs="Times New Roman"/>
          <w:sz w:val="24"/>
          <w:szCs w:val="24"/>
        </w:rPr>
        <w:t xml:space="preserve"> </w:t>
      </w:r>
      <w:r w:rsidR="001601E9">
        <w:rPr>
          <w:rFonts w:ascii="Times New Roman" w:hAnsi="Times New Roman" w:cs="Times New Roman"/>
          <w:sz w:val="24"/>
          <w:szCs w:val="24"/>
        </w:rPr>
        <w:t xml:space="preserve">(2013) </w:t>
      </w:r>
      <w:r w:rsidRPr="002F1601">
        <w:rPr>
          <w:rFonts w:ascii="Times New Roman" w:hAnsi="Times New Roman" w:cs="Times New Roman"/>
          <w:sz w:val="24"/>
          <w:szCs w:val="24"/>
        </w:rPr>
        <w:t>have adjusted the MAD calculation method to better solve the fal</w:t>
      </w:r>
      <w:r w:rsidR="005A07DD">
        <w:rPr>
          <w:rFonts w:ascii="Times New Roman" w:hAnsi="Times New Roman" w:cs="Times New Roman"/>
          <w:sz w:val="24"/>
          <w:szCs w:val="24"/>
        </w:rPr>
        <w:t>se positive problem; hence, an adjusted</w:t>
      </w:r>
      <w:r w:rsidRPr="002F1601">
        <w:rPr>
          <w:rFonts w:ascii="Times New Roman" w:hAnsi="Times New Roman" w:cs="Times New Roman"/>
          <w:sz w:val="24"/>
          <w:szCs w:val="24"/>
        </w:rPr>
        <w:t xml:space="preserve"> MAD can be used for </w:t>
      </w:r>
      <w:r w:rsidR="005A07DD">
        <w:rPr>
          <w:rFonts w:ascii="Times New Roman" w:hAnsi="Times New Roman" w:cs="Times New Roman"/>
          <w:sz w:val="24"/>
          <w:szCs w:val="24"/>
        </w:rPr>
        <w:t>country’s</w:t>
      </w:r>
      <w:r w:rsidRPr="002F1601">
        <w:rPr>
          <w:rFonts w:ascii="Times New Roman" w:hAnsi="Times New Roman" w:cs="Times New Roman"/>
          <w:sz w:val="24"/>
          <w:szCs w:val="24"/>
        </w:rPr>
        <w:t xml:space="preserve"> data set. The MAD statistic is calculated as follow</w:t>
      </w:r>
      <w:r w:rsidR="005A07DD">
        <w:rPr>
          <w:rFonts w:ascii="Times New Roman" w:hAnsi="Times New Roman" w:cs="Times New Roman"/>
          <w:sz w:val="24"/>
          <w:szCs w:val="24"/>
        </w:rPr>
        <w:t>s</w:t>
      </w:r>
      <w:r w:rsidRPr="002F160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5C745B" w14:textId="4412A6D3" w:rsidR="002F1601" w:rsidRPr="002F1601" w:rsidRDefault="001601E9" w:rsidP="00160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C14B1">
        <w:rPr>
          <w:rFonts w:ascii="Times New Roman" w:hAnsi="Times New Roman" w:cs="Times New Roman"/>
          <w:sz w:val="24"/>
          <w:szCs w:val="24"/>
        </w:rPr>
        <w:t>ean Absolute D</w:t>
      </w:r>
      <w:r w:rsidR="002F1601" w:rsidRPr="002F1601">
        <w:rPr>
          <w:rFonts w:ascii="Times New Roman" w:hAnsi="Times New Roman" w:cs="Times New Roman"/>
          <w:sz w:val="24"/>
          <w:szCs w:val="24"/>
        </w:rPr>
        <w:t>eviation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fi</m:t>
            </m:r>
          </m:e>
        </m:nary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Xi-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d>
      </m:oMath>
    </w:p>
    <w:p w14:paraId="73E88BC4" w14:textId="4E734B10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 w:rsidRPr="002F1601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Xi</m:t>
        </m:r>
      </m:oMath>
      <w:r w:rsidR="00C80D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F1601">
        <w:rPr>
          <w:rFonts w:ascii="Times New Roman" w:hAnsi="Times New Roman" w:cs="Times New Roman"/>
          <w:sz w:val="24"/>
          <w:szCs w:val="24"/>
        </w:rPr>
        <w:t xml:space="preserve">is the difference between actual occurrence rate and Benford occurrence rate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</m:oMath>
      <w:r w:rsidRPr="002F1601">
        <w:rPr>
          <w:rFonts w:ascii="Times New Roman" w:hAnsi="Times New Roman" w:cs="Times New Roman"/>
          <w:sz w:val="24"/>
          <w:szCs w:val="24"/>
        </w:rPr>
        <w:t xml:space="preserve"> is the mean of the difference between actual occurrence rate and </w:t>
      </w:r>
      <w:proofErr w:type="spellStart"/>
      <w:r w:rsidRPr="002F1601">
        <w:rPr>
          <w:rFonts w:ascii="Times New Roman" w:hAnsi="Times New Roman" w:cs="Times New Roman"/>
          <w:sz w:val="24"/>
          <w:szCs w:val="24"/>
        </w:rPr>
        <w:t>Benford</w:t>
      </w:r>
      <w:proofErr w:type="spellEnd"/>
      <w:r w:rsidRPr="002F1601">
        <w:rPr>
          <w:rFonts w:ascii="Times New Roman" w:hAnsi="Times New Roman" w:cs="Times New Roman"/>
          <w:sz w:val="24"/>
          <w:szCs w:val="24"/>
        </w:rPr>
        <w:t xml:space="preserve"> occurrence rate. Whereas in </w:t>
      </w:r>
      <w:proofErr w:type="spellStart"/>
      <w:r w:rsidRPr="002F1601">
        <w:rPr>
          <w:rFonts w:ascii="Times New Roman" w:hAnsi="Times New Roman" w:cs="Times New Roman"/>
          <w:sz w:val="24"/>
          <w:szCs w:val="24"/>
        </w:rPr>
        <w:t>Nigrini’s</w:t>
      </w:r>
      <w:proofErr w:type="spellEnd"/>
      <w:r w:rsidRPr="002F1601">
        <w:rPr>
          <w:rFonts w:ascii="Times New Roman" w:hAnsi="Times New Roman" w:cs="Times New Roman"/>
          <w:sz w:val="24"/>
          <w:szCs w:val="24"/>
        </w:rPr>
        <w:t xml:space="preserve"> MAD, </w:t>
      </w:r>
      <m:oMath>
        <m:r>
          <w:rPr>
            <w:rFonts w:ascii="Cambria Math" w:hAnsi="Cambria Math" w:cs="Times New Roman"/>
            <w:sz w:val="24"/>
            <w:szCs w:val="24"/>
          </w:rPr>
          <m:t>Xi</m:t>
        </m:r>
      </m:oMath>
      <w:r w:rsidR="005A07DD">
        <w:rPr>
          <w:rFonts w:ascii="Times New Roman" w:hAnsi="Times New Roman" w:cs="Times New Roman"/>
          <w:sz w:val="24"/>
          <w:szCs w:val="24"/>
        </w:rPr>
        <w:t xml:space="preserve"> </w:t>
      </w:r>
      <w:r w:rsidRPr="002F1601">
        <w:rPr>
          <w:rFonts w:ascii="Times New Roman" w:hAnsi="Times New Roman" w:cs="Times New Roman"/>
          <w:sz w:val="24"/>
          <w:szCs w:val="24"/>
        </w:rPr>
        <w:t xml:space="preserve">is the actual occurrence rate and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</m:oMath>
      <w:r w:rsidRPr="002F1601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2F1601">
        <w:rPr>
          <w:rFonts w:ascii="Times New Roman" w:hAnsi="Times New Roman" w:cs="Times New Roman"/>
          <w:sz w:val="24"/>
          <w:szCs w:val="24"/>
        </w:rPr>
        <w:t>Benford</w:t>
      </w:r>
      <w:proofErr w:type="spellEnd"/>
      <w:r w:rsidRPr="002F1601">
        <w:rPr>
          <w:rFonts w:ascii="Times New Roman" w:hAnsi="Times New Roman" w:cs="Times New Roman"/>
          <w:sz w:val="24"/>
          <w:szCs w:val="24"/>
        </w:rPr>
        <w:t xml:space="preserve"> occurrence rate. The absolute symbol means that the deviation is given a positive sign irrespective of whether it is positive or negative. Individual differences are then totaled and divided by 9 (the number of leading digits) to yield the mean absolute deviation</w:t>
      </w:r>
      <w:sdt>
        <w:sdtPr>
          <w:rPr>
            <w:rFonts w:ascii="Times New Roman" w:hAnsi="Times New Roman" w:cs="Times New Roman"/>
            <w:sz w:val="24"/>
            <w:szCs w:val="24"/>
          </w:rPr>
          <w:id w:val="914666934"/>
          <w:citation/>
        </w:sdtPr>
        <w:sdtContent>
          <w:r w:rsidRPr="002F160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F1601">
            <w:rPr>
              <w:rFonts w:ascii="Times New Roman" w:hAnsi="Times New Roman" w:cs="Times New Roman"/>
              <w:sz w:val="24"/>
              <w:szCs w:val="24"/>
            </w:rPr>
            <w:instrText xml:space="preserve">CITATION GGJ13 \l 1033 </w:instrText>
          </w:r>
          <w:r w:rsidRPr="002F160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54B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E54B4" w:rsidRPr="009E54B4">
            <w:rPr>
              <w:rFonts w:ascii="Times New Roman" w:hAnsi="Times New Roman" w:cs="Times New Roman"/>
              <w:noProof/>
              <w:sz w:val="24"/>
              <w:szCs w:val="24"/>
            </w:rPr>
            <w:t>(Johnson and Weggenmann 2013)</w:t>
          </w:r>
          <w:r w:rsidRPr="002F160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F1601">
        <w:rPr>
          <w:rFonts w:ascii="Times New Roman" w:hAnsi="Times New Roman" w:cs="Times New Roman"/>
          <w:sz w:val="24"/>
          <w:szCs w:val="24"/>
        </w:rPr>
        <w:t>.</w:t>
      </w:r>
    </w:p>
    <w:p w14:paraId="3B46CDB2" w14:textId="3EEB42FC" w:rsidR="002F1601" w:rsidRPr="002F1601" w:rsidRDefault="001601E9" w:rsidP="002F16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264E0A4B" w14:textId="196D908E" w:rsidR="002F1601" w:rsidRPr="002F1601" w:rsidRDefault="002F1601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 w:rsidRPr="002F1601">
        <w:rPr>
          <w:rFonts w:ascii="Times New Roman" w:hAnsi="Times New Roman" w:cs="Times New Roman"/>
          <w:sz w:val="24"/>
          <w:szCs w:val="24"/>
        </w:rPr>
        <w:t>We used publicly</w:t>
      </w:r>
      <w:bookmarkStart w:id="0" w:name="_GoBack"/>
      <w:bookmarkEnd w:id="0"/>
      <w:r w:rsidRPr="002F1601">
        <w:rPr>
          <w:rFonts w:ascii="Times New Roman" w:hAnsi="Times New Roman" w:cs="Times New Roman"/>
          <w:sz w:val="24"/>
          <w:szCs w:val="24"/>
        </w:rPr>
        <w:t xml:space="preserve"> available data from the European Centre for Disease Prevention and Control website</w:t>
      </w:r>
      <w:r w:rsidRPr="002F1601">
        <w:rPr>
          <w:rFonts w:ascii="Times New Roman" w:hAnsi="Times New Roman" w:cs="Times New Roman"/>
          <w:sz w:val="24"/>
          <w:szCs w:val="24"/>
          <w:vertAlign w:val="superscript"/>
        </w:rPr>
        <w:footnoteReference w:id="1"/>
      </w:r>
      <w:r w:rsidRPr="002F1601">
        <w:rPr>
          <w:rFonts w:ascii="Times New Roman" w:hAnsi="Times New Roman" w:cs="Times New Roman"/>
          <w:sz w:val="24"/>
          <w:szCs w:val="24"/>
        </w:rPr>
        <w:t xml:space="preserve"> on reported daily cases of Covid-19 in the world starting from the first case of Covid-19 in each country to the 12</w:t>
      </w:r>
      <w:r w:rsidR="009E54B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F1601">
        <w:rPr>
          <w:rFonts w:ascii="Times New Roman" w:hAnsi="Times New Roman" w:cs="Times New Roman"/>
          <w:sz w:val="24"/>
          <w:szCs w:val="24"/>
        </w:rPr>
        <w:t xml:space="preserve"> of November 2020.</w:t>
      </w:r>
    </w:p>
    <w:p w14:paraId="1AEDB6EA" w14:textId="512B4C81" w:rsidR="002F1601" w:rsidRPr="002F1601" w:rsidRDefault="009E54B4" w:rsidP="002F16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Figure shows</w:t>
      </w:r>
      <w:r w:rsidR="002F1601" w:rsidRPr="002F160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F1601" w:rsidRPr="002F1601">
        <w:rPr>
          <w:rFonts w:ascii="Times New Roman" w:hAnsi="Times New Roman" w:cs="Times New Roman"/>
          <w:sz w:val="24"/>
          <w:szCs w:val="24"/>
        </w:rPr>
        <w:t>Benfordness</w:t>
      </w:r>
      <w:proofErr w:type="spellEnd"/>
      <w:r w:rsidR="002F1601" w:rsidRPr="002F1601">
        <w:rPr>
          <w:rFonts w:ascii="Times New Roman" w:hAnsi="Times New Roman" w:cs="Times New Roman"/>
          <w:sz w:val="24"/>
          <w:szCs w:val="24"/>
        </w:rPr>
        <w:t xml:space="preserve"> of the World’s reported daily cases where the blue bars represent the world’s observ</w:t>
      </w:r>
      <w:r w:rsidR="00FA1C3C">
        <w:rPr>
          <w:rFonts w:ascii="Times New Roman" w:hAnsi="Times New Roman" w:cs="Times New Roman"/>
          <w:sz w:val="24"/>
          <w:szCs w:val="24"/>
        </w:rPr>
        <w:t xml:space="preserve">ed daily reported cases and the intermittent red line represents </w:t>
      </w:r>
      <w:r w:rsidR="002F1601" w:rsidRPr="002F1601">
        <w:rPr>
          <w:rFonts w:ascii="Times New Roman" w:hAnsi="Times New Roman" w:cs="Times New Roman"/>
          <w:sz w:val="24"/>
          <w:szCs w:val="24"/>
        </w:rPr>
        <w:t>BL.</w:t>
      </w:r>
    </w:p>
    <w:p w14:paraId="03901E52" w14:textId="03079CA7" w:rsidR="002F1601" w:rsidRPr="002F1601" w:rsidRDefault="00FA7C0F" w:rsidP="00FA7C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45D7ED" wp14:editId="4C375D6B">
            <wp:extent cx="3219450" cy="301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218" cy="302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64FA" w14:textId="3F74D4D4" w:rsidR="00C33F69" w:rsidRDefault="009E54B4" w:rsidP="00E94AC4">
      <w:pPr>
        <w:rPr>
          <w:rFonts w:ascii="Times New Roman" w:hAnsi="Times New Roman" w:cs="Times New Roman"/>
          <w:b/>
          <w:sz w:val="24"/>
          <w:szCs w:val="24"/>
        </w:rPr>
      </w:pPr>
      <w:r w:rsidRPr="009E54B4">
        <w:rPr>
          <w:rFonts w:ascii="Times New Roman" w:hAnsi="Times New Roman" w:cs="Times New Roman"/>
          <w:b/>
          <w:sz w:val="24"/>
          <w:szCs w:val="24"/>
        </w:rPr>
        <w:t>The database</w:t>
      </w:r>
    </w:p>
    <w:p w14:paraId="73181C26" w14:textId="24063EB6" w:rsidR="009F0445" w:rsidRDefault="009F0445" w:rsidP="00DC14B1">
      <w:pPr>
        <w:jc w:val="both"/>
        <w:rPr>
          <w:rFonts w:ascii="Times New Roman" w:hAnsi="Times New Roman" w:cs="Times New Roman"/>
          <w:sz w:val="24"/>
          <w:szCs w:val="24"/>
        </w:rPr>
      </w:pPr>
      <w:r w:rsidRPr="00DC14B1">
        <w:rPr>
          <w:rFonts w:ascii="Times New Roman" w:hAnsi="Times New Roman" w:cs="Times New Roman"/>
          <w:sz w:val="24"/>
          <w:szCs w:val="24"/>
        </w:rPr>
        <w:t xml:space="preserve">The ranges </w:t>
      </w:r>
      <w:r w:rsidR="00DC14B1">
        <w:rPr>
          <w:rFonts w:ascii="Times New Roman" w:hAnsi="Times New Roman" w:cs="Times New Roman"/>
          <w:sz w:val="24"/>
          <w:szCs w:val="24"/>
        </w:rPr>
        <w:t>of the tests are shown below. If the value of the chi-square and the Kuiper test</w:t>
      </w:r>
      <w:r w:rsidR="00FA1C3C">
        <w:rPr>
          <w:rFonts w:ascii="Times New Roman" w:hAnsi="Times New Roman" w:cs="Times New Roman"/>
          <w:sz w:val="24"/>
          <w:szCs w:val="24"/>
        </w:rPr>
        <w:t>s</w:t>
      </w:r>
      <w:r w:rsidR="00DC14B1">
        <w:rPr>
          <w:rFonts w:ascii="Times New Roman" w:hAnsi="Times New Roman" w:cs="Times New Roman"/>
          <w:sz w:val="24"/>
          <w:szCs w:val="24"/>
        </w:rPr>
        <w:t xml:space="preserve"> are more than 20.09 and 2 respectively, it is considered that a country’s distribution curve does not fit BL. Similarly, in the M</w:t>
      </w:r>
      <w:r w:rsidR="00F7588D">
        <w:rPr>
          <w:rFonts w:ascii="Times New Roman" w:hAnsi="Times New Roman" w:cs="Times New Roman"/>
          <w:sz w:val="24"/>
          <w:szCs w:val="24"/>
        </w:rPr>
        <w:t>AD test, i</w:t>
      </w:r>
      <w:r w:rsidR="00DC14B1">
        <w:rPr>
          <w:rFonts w:ascii="Times New Roman" w:hAnsi="Times New Roman" w:cs="Times New Roman"/>
          <w:sz w:val="24"/>
          <w:szCs w:val="24"/>
        </w:rPr>
        <w:t>f the value is more than 0.015, the curve does not conform to BL.</w:t>
      </w:r>
    </w:p>
    <w:p w14:paraId="104FA6B3" w14:textId="77777777" w:rsidR="00DC14B1" w:rsidRPr="00DC14B1" w:rsidRDefault="00DC14B1" w:rsidP="00DC14B1">
      <w:pPr>
        <w:pStyle w:val="NoSpacing"/>
      </w:pPr>
    </w:p>
    <w:tbl>
      <w:tblPr>
        <w:tblW w:w="9810" w:type="dxa"/>
        <w:tblInd w:w="108" w:type="dxa"/>
        <w:tblLook w:val="04A0" w:firstRow="1" w:lastRow="0" w:firstColumn="1" w:lastColumn="0" w:noHBand="0" w:noVBand="1"/>
      </w:tblPr>
      <w:tblGrid>
        <w:gridCol w:w="900"/>
        <w:gridCol w:w="2160"/>
        <w:gridCol w:w="1710"/>
        <w:gridCol w:w="1530"/>
        <w:gridCol w:w="3510"/>
      </w:tblGrid>
      <w:tr w:rsidR="005F6074" w:rsidRPr="00A35592" w14:paraId="2922A6C5" w14:textId="77777777" w:rsidTr="00E4628B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7691" w14:textId="3D632A48" w:rsidR="005F6074" w:rsidRPr="00A35592" w:rsidRDefault="00E4628B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5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l-GR"/>
              </w:rPr>
              <w:t xml:space="preserve">α </w:t>
            </w:r>
            <w:r w:rsidRPr="00A35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D8E51" w14:textId="5901382B" w:rsidR="005F6074" w:rsidRPr="00A35592" w:rsidRDefault="00E4628B" w:rsidP="00F75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5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chi-square</w:t>
            </w:r>
            <w:r w:rsidR="005F6074" w:rsidRPr="00A35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73CB" w14:textId="1ED4B346" w:rsidR="005F6074" w:rsidRPr="00A35592" w:rsidRDefault="005F6074" w:rsidP="00F75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5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Kuiper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1FB2" w14:textId="60EE3C40" w:rsidR="005F6074" w:rsidRPr="00A35592" w:rsidRDefault="005F6074" w:rsidP="00F75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5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MAD 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A72F" w14:textId="0A30B7B1" w:rsidR="005F6074" w:rsidRPr="00A35592" w:rsidRDefault="00F7588D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  conformity ranges</w:t>
            </w:r>
          </w:p>
        </w:tc>
      </w:tr>
      <w:tr w:rsidR="005F6074" w:rsidRPr="00A35592" w14:paraId="13B28F1A" w14:textId="77777777" w:rsidTr="00E4628B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1648E3D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9B17640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&gt;15.51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8126904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&gt;1.65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5538A5B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&gt;0.006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0EF9EF9" w14:textId="77777777" w:rsidR="005F6074" w:rsidRPr="00FA1C3C" w:rsidRDefault="005F6074" w:rsidP="005F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Close conformity</w:t>
            </w:r>
          </w:p>
        </w:tc>
      </w:tr>
      <w:tr w:rsidR="005F6074" w:rsidRPr="00A35592" w14:paraId="03B0F447" w14:textId="77777777" w:rsidTr="00E4628B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428875A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1DD564B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15.51 - 17.54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34469D8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1.65-1.75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29D3AD7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0.006-0.012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4E72CDE" w14:textId="77777777" w:rsidR="005F6074" w:rsidRPr="00FA1C3C" w:rsidRDefault="005F6074" w:rsidP="005F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conformity</w:t>
            </w:r>
          </w:p>
        </w:tc>
      </w:tr>
      <w:tr w:rsidR="005F6074" w:rsidRPr="00A35592" w14:paraId="1AF62BF8" w14:textId="77777777" w:rsidTr="00E4628B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698010A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06CADC9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17.54 - 20.09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453A0A1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1.75-2.0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7462B8F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0.012-0.015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A0207E8" w14:textId="77777777" w:rsidR="005F6074" w:rsidRPr="00FA1C3C" w:rsidRDefault="005F6074" w:rsidP="005F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Marginally acceptable conformity</w:t>
            </w:r>
          </w:p>
        </w:tc>
      </w:tr>
      <w:tr w:rsidR="005F6074" w:rsidRPr="00A35592" w14:paraId="28C2295A" w14:textId="77777777" w:rsidTr="00E4628B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1019704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none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50B710F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&lt;20.09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2FD28FD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&lt;2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51A31E6" w14:textId="77777777" w:rsidR="005F6074" w:rsidRPr="00FA1C3C" w:rsidRDefault="005F6074" w:rsidP="005F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&lt;0.015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8F9230B" w14:textId="77777777" w:rsidR="005F6074" w:rsidRPr="00FA1C3C" w:rsidRDefault="005F6074" w:rsidP="005F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Nonconformity</w:t>
            </w:r>
          </w:p>
        </w:tc>
      </w:tr>
    </w:tbl>
    <w:p w14:paraId="2FCED2F2" w14:textId="77777777" w:rsidR="00F8220E" w:rsidRDefault="00F8220E" w:rsidP="00E94AC4">
      <w:pPr>
        <w:rPr>
          <w:rFonts w:ascii="Times New Roman" w:hAnsi="Times New Roman" w:cs="Times New Roman"/>
          <w:sz w:val="24"/>
          <w:szCs w:val="24"/>
        </w:rPr>
      </w:pPr>
    </w:p>
    <w:p w14:paraId="5581F941" w14:textId="77777777" w:rsidR="00DC14B1" w:rsidRDefault="00DC14B1" w:rsidP="00E94AC4">
      <w:pPr>
        <w:rPr>
          <w:rFonts w:ascii="Times New Roman" w:hAnsi="Times New Roman" w:cs="Times New Roman"/>
          <w:sz w:val="24"/>
          <w:szCs w:val="24"/>
        </w:rPr>
      </w:pPr>
    </w:p>
    <w:p w14:paraId="76441511" w14:textId="77777777" w:rsidR="00DC14B1" w:rsidRDefault="00DC14B1" w:rsidP="00E94AC4">
      <w:pPr>
        <w:rPr>
          <w:rFonts w:ascii="Times New Roman" w:hAnsi="Times New Roman" w:cs="Times New Roman"/>
          <w:sz w:val="24"/>
          <w:szCs w:val="24"/>
        </w:rPr>
      </w:pPr>
    </w:p>
    <w:p w14:paraId="2CE920F1" w14:textId="77777777" w:rsidR="00DC14B1" w:rsidRDefault="00DC14B1" w:rsidP="00E94AC4">
      <w:pPr>
        <w:rPr>
          <w:rFonts w:ascii="Times New Roman" w:hAnsi="Times New Roman" w:cs="Times New Roman"/>
          <w:sz w:val="24"/>
          <w:szCs w:val="24"/>
        </w:rPr>
      </w:pPr>
    </w:p>
    <w:p w14:paraId="06A18975" w14:textId="77777777" w:rsidR="00DC14B1" w:rsidRDefault="00DC14B1" w:rsidP="00E94AC4">
      <w:pPr>
        <w:rPr>
          <w:rFonts w:ascii="Times New Roman" w:hAnsi="Times New Roman" w:cs="Times New Roman"/>
          <w:sz w:val="24"/>
          <w:szCs w:val="24"/>
        </w:rPr>
      </w:pPr>
    </w:p>
    <w:p w14:paraId="7E23010D" w14:textId="77777777" w:rsidR="00DC14B1" w:rsidRDefault="00DC14B1" w:rsidP="00E94AC4">
      <w:pPr>
        <w:rPr>
          <w:rFonts w:ascii="Times New Roman" w:hAnsi="Times New Roman" w:cs="Times New Roman"/>
          <w:sz w:val="24"/>
          <w:szCs w:val="24"/>
        </w:rPr>
      </w:pPr>
    </w:p>
    <w:p w14:paraId="0522D306" w14:textId="77777777" w:rsidR="00FA1C3C" w:rsidRDefault="00FA1C3C" w:rsidP="00E94AC4">
      <w:pPr>
        <w:rPr>
          <w:rFonts w:ascii="Times New Roman" w:hAnsi="Times New Roman" w:cs="Times New Roman"/>
          <w:sz w:val="24"/>
          <w:szCs w:val="24"/>
        </w:rPr>
      </w:pPr>
    </w:p>
    <w:p w14:paraId="1FEC4EBA" w14:textId="77777777" w:rsidR="00DC14B1" w:rsidRPr="00A35592" w:rsidRDefault="00DC14B1" w:rsidP="00E94AC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045" w:type="dxa"/>
        <w:tblInd w:w="108" w:type="dxa"/>
        <w:tblLook w:val="06A0" w:firstRow="1" w:lastRow="0" w:firstColumn="1" w:lastColumn="0" w:noHBand="1" w:noVBand="1"/>
      </w:tblPr>
      <w:tblGrid>
        <w:gridCol w:w="3420"/>
        <w:gridCol w:w="1505"/>
        <w:gridCol w:w="1160"/>
        <w:gridCol w:w="960"/>
      </w:tblGrid>
      <w:tr w:rsidR="00FA1C3C" w:rsidRPr="00FA1C3C" w14:paraId="01E1BCF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49A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Countries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9283" w14:textId="3809D4D4" w:rsidR="004B4C40" w:rsidRPr="00FA1C3C" w:rsidRDefault="002B5B1F" w:rsidP="00670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1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A28" w14:textId="2E716C26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F8220E" w:rsidRPr="00FA1C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</w:t>
            </w:r>
            <w:r w:rsidRPr="00FA1C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F609" w14:textId="53E81FEA" w:rsidR="004B4C40" w:rsidRPr="00FA1C3C" w:rsidRDefault="004B4C40" w:rsidP="004B4C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MAD</w:t>
            </w:r>
            <w:r w:rsidRPr="00FA1C3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A1C3C" w:rsidRPr="00FA1C3C" w14:paraId="0B3C3C97" w14:textId="77777777" w:rsidTr="002B5B1F">
        <w:trPr>
          <w:trHeight w:val="3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453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Norway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DD21E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C6A4EC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E7BCA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36F4925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270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FE030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9.48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C780E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F8C6E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FA1C3C" w:rsidRPr="00FA1C3C" w14:paraId="2B4303E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E4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Denmark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512D8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4CB5E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E82E4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1FFEC0E6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6BCF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Sweden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4CD05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E0B7B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1F334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5E64704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017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Netherlands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B2DCE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12.66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5D1AB7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D9F3A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</w:tr>
      <w:tr w:rsidR="00FA1C3C" w:rsidRPr="00FA1C3C" w14:paraId="1B6EB456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541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Jamaica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E8354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50916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DB6DDF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A1C3C" w:rsidRPr="00FA1C3C" w14:paraId="109D1CE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0C1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Costa Rica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22188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14.48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1335F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0400B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FA1C3C" w:rsidRPr="00FA1C3C" w14:paraId="204490D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171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Switzerland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60F41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81EFF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5BC34D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A1C3C" w:rsidRPr="00FA1C3C" w14:paraId="3632493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AB4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New Zealand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DB4DE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47AC7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CC219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7605087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CFB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Portugal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E477E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14.25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D9990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ED3B3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FA1C3C" w:rsidRPr="00FA1C3C" w14:paraId="7A118A7C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920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Germany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A50E1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1AB7D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2BB64A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FA1C3C" w:rsidRPr="00FA1C3C" w14:paraId="4F607B5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A2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Belgium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C4FF0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788F9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D819B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FA1C3C" w:rsidRPr="00FA1C3C" w14:paraId="1BEB27E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B968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Ireland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9DADD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22C98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99533A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58A280C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45B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Estonia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8C9EC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B3D4F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7865CC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A1C3C" w:rsidRPr="00FA1C3C" w14:paraId="57C23BB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4D5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Iceland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8872D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A9EFA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0D9348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FA1C3C" w:rsidRPr="00FA1C3C" w14:paraId="0FD9B9C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FA8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Canada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E92B2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2AA1B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AB61F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1D8325B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4BE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Luxembourg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43A8A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9.98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A9745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8FD24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452B2BF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C12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Austria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3E4B9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E79A5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87ED7D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733B49D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B34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Uruguay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E4204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B819B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CA0E34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2481C36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C34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Suriname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888D5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A2748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88F176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4A5A35D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13E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Latvia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90311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B7BF2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AB0E8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A1C3C" w:rsidRPr="00FA1C3C" w14:paraId="19D5C10C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C524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Namibia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279A7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5EB84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CFBFAE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18D014F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9B5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Liechtenstein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63120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27.92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B6691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68A00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FA1C3C" w:rsidRPr="00FA1C3C" w14:paraId="057CA25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360F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Cape Verde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A0928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9.77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21030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9544C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18CBD70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D7C7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Australia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FBA8C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87096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8F5CD2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74E72E0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6E5F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Cyprus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0B1C0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3E6F5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78643E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3FD00AE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FB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Lithuania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419D8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445861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603B4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242DD25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465F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Spain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D8724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A5818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24A07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55A73A5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D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Ghana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03799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5BBE6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FE6005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524CC1C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A1F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South Africa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D3B82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74CA32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0B95DB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</w:tr>
      <w:tr w:rsidR="00FA1C3C" w:rsidRPr="00FA1C3C" w14:paraId="552383A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8B5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Slovenia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9779B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2552C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21220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46D4D07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0D2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Slovakia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27E5A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A1639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9EF97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4E22D1D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A88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France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478B0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AD5DB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DE24FF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1A1D8D1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B21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United Kingdom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34204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C6FF1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B0A7A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5EBF950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4F4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Trinidad and Tobago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DD240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4BC9E5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38667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FA1C3C" w:rsidRPr="00FA1C3C" w14:paraId="0E889CB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24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Andorra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83686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48B0C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0EA108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53842D9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605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Burkina Faso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08C79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9.58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DE90B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51C235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0.023</w:t>
            </w:r>
          </w:p>
        </w:tc>
      </w:tr>
      <w:tr w:rsidR="00FA1C3C" w:rsidRPr="00FA1C3C" w14:paraId="2282A2C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352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Botswana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64B6F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13.26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CCECF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DE983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FA1C3C" w:rsidRPr="00FA1C3C" w14:paraId="763C5EC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DC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Czech Republic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3D27B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29AB2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78D63D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FA1C3C" w:rsidRPr="00FA1C3C" w14:paraId="7792B8E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96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Italy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B56439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6B80B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C577D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3B177D5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B12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South Korea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B57491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9B7B6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D01DA1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A1C3C" w:rsidRPr="00FA1C3C" w14:paraId="1DDCE9A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512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Taiwan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BA69AF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32.18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92CB7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59960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</w:tr>
      <w:tr w:rsidR="00FA1C3C" w:rsidRPr="00FA1C3C" w14:paraId="0CB2CC9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691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United States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592EE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19.84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69956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5B82B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</w:tr>
      <w:tr w:rsidR="00FA1C3C" w:rsidRPr="00FA1C3C" w14:paraId="1B4EFA4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D7E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Papua New Guinea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E9CBD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17.16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3D258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DEBEE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FA1C3C" w:rsidRPr="00FA1C3C" w14:paraId="1B2C70E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B63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Senegal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2EFA7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14.81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4BF16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23381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FA1C3C" w:rsidRPr="00FA1C3C" w14:paraId="6FEB571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028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Romania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116F6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EC6A8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A5B3B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</w:tr>
      <w:tr w:rsidR="00FA1C3C" w:rsidRPr="00FA1C3C" w14:paraId="3CBA488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7D6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Guyana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CDA31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F5FFF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EED329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4AA47FA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7168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Chile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74811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23.92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8A29A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BFAED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</w:tr>
      <w:tr w:rsidR="00FA1C3C" w:rsidRPr="00FA1C3C" w14:paraId="328C745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C6A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Belize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EF4CE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12.78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6668B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375A3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FA1C3C" w:rsidRPr="00FA1C3C" w14:paraId="1E2AED8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828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Madagascar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37178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8DC55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DCD02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FA1C3C" w:rsidRPr="00FA1C3C" w14:paraId="61C79C3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D05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Dominican Republic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4D4AA2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9135E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93999A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FA1C3C" w:rsidRPr="00FA1C3C" w14:paraId="755C41E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C4F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Mauritius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503F0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20.34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8E8B1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2A49C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FA1C3C" w:rsidRPr="00FA1C3C" w14:paraId="5C9EEEF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73F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Niger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657DC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9649C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9EDA34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1D767DE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FE0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Bosnia and Herzegovina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BA2D6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9.65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F6C955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DC675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0.023</w:t>
            </w:r>
          </w:p>
        </w:tc>
      </w:tr>
      <w:tr w:rsidR="00FA1C3C" w:rsidRPr="00FA1C3C" w14:paraId="238642E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F15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Croatia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DE879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03A90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DDBC7A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0B9555B6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7D6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Georgia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51A33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EE99C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51401C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1B99FAA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EAD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Armenia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0F8ED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E7289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ABE5C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48D7CE0C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99F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8FDB1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23.74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D5087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38671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0.036</w:t>
            </w:r>
          </w:p>
        </w:tc>
      </w:tr>
      <w:tr w:rsidR="00FA1C3C" w:rsidRPr="00FA1C3C" w14:paraId="2951C18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36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Argentina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A58CC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21.77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6E5B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EF2B0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FA1C3C" w:rsidRPr="00FA1C3C" w14:paraId="5F4C7B0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E45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Greece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3962A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89747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223B5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03E445AC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F14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Japan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907D7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15.21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2B544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D1277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FA1C3C" w:rsidRPr="00FA1C3C" w14:paraId="3A01DD4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7C7F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Bhutan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220A0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23.15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E6712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4D5D5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</w:tr>
      <w:tr w:rsidR="00FA1C3C" w:rsidRPr="00FA1C3C" w14:paraId="4C8708B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D89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Ivory Coast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E99D9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15.22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50215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01A79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</w:tr>
      <w:tr w:rsidR="00FA1C3C" w:rsidRPr="00FA1C3C" w14:paraId="575A7B4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816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Malawi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217BF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9CC9C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11A41C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FA1C3C" w:rsidRPr="00FA1C3C" w14:paraId="393A5DC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788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Kosovo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16CB6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86D0E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0259C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457A53B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E0F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Togo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BED0E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61D73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1B398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6883F50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A0B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Tunisia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249BB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77AD4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AC77F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414F97E6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2E5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Mongolia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0C6BB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36.55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98CE4E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D6AA4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0.045</w:t>
            </w:r>
          </w:p>
        </w:tc>
      </w:tr>
      <w:tr w:rsidR="00FA1C3C" w:rsidRPr="00FA1C3C" w14:paraId="74EA150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232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Salvador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E9604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9.94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1F18A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20B5C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FA1C3C" w:rsidRPr="00FA1C3C" w14:paraId="7FFC49A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1B1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Comoros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5DE74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21.38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7F3E8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793BE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FA1C3C" w:rsidRPr="00FA1C3C" w14:paraId="6E38FA9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C77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Panama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CA0BF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44.52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39313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FC89A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FA1C3C" w:rsidRPr="00FA1C3C" w14:paraId="353488F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84E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East Timor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E0F96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126.28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5CD488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C3D0F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0.096</w:t>
            </w:r>
          </w:p>
        </w:tc>
      </w:tr>
      <w:tr w:rsidR="00FA1C3C" w:rsidRPr="00FA1C3C" w14:paraId="337D140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5C6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Maldives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7CC27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3E19A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CC44E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FA1C3C" w:rsidRPr="00FA1C3C" w14:paraId="5994ACF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723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Malta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09674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CADAF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DA121A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47C028C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E9C7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Kyrgyzstan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0448A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6485A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2FBFA5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0BBE13E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8134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Haiti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B182D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F5D2A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988F4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FA1C3C" w:rsidRPr="00FA1C3C" w14:paraId="7AA038B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4EB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Albania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DEEE5D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19.02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F3A89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FBB01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</w:tr>
      <w:tr w:rsidR="00FA1C3C" w:rsidRPr="00FA1C3C" w14:paraId="66B878D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280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Sierra Leone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87ADA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21E43F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F6A93E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25D1DA0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3A1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Lesotho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1F01C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937B8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B520D3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4F0D5FC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6A0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Gambia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3F6C4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12.91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2AE8A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D2A4E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FA1C3C" w:rsidRPr="00FA1C3C" w14:paraId="1594A53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322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Israel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D4B1A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AF39B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8BC299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3C7AF67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895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Hungary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07F42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2EE63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23262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423CC45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BD7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Peru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CC24A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28.98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A6E39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4305A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FA1C3C" w:rsidRPr="00FA1C3C" w14:paraId="71DC64B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197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Moldova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90B88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02E60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6875BD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4A9AF28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66C5" w14:textId="7596D079" w:rsidR="004B4C40" w:rsidRPr="00FA1C3C" w:rsidRDefault="00D05917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North </w:t>
            </w:r>
            <w:r w:rsidR="004B4C40"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Macedonia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343668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17.89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C08C5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42CC0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FA1C3C" w:rsidRPr="00FA1C3C" w14:paraId="568092D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FCC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Serbia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2C796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39F16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8FC4D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69CAD15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882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Guinea-Bissau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09A9D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19.47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DC5720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165BC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FA1C3C" w:rsidRPr="00FA1C3C" w14:paraId="14EE4F9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6C9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Liberia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28E99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95648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7D296C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11A2431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454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Ukraine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8C1288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18.84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3BBEC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19A906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FA1C3C" w:rsidRPr="00FA1C3C" w14:paraId="2DD941D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9F6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Mauritania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92ED6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AB80B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F1807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4C8AD48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F0A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Ecuador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803A2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13.27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44550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E9C72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FA1C3C" w:rsidRPr="00FA1C3C" w14:paraId="0A0719A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137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Ethiopia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824AF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083C3C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1C4EC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035B8E1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3B6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Paraguay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A4353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79B35E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F3F71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FA1C3C" w:rsidRPr="00FA1C3C" w14:paraId="7473520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F20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Malaysia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03A85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B5D5C8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ECC5F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FA1C3C" w:rsidRPr="00FA1C3C" w14:paraId="0854D6D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7A2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Lebanon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404EF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922CAD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04F5C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FA1C3C" w:rsidRPr="00FA1C3C" w14:paraId="4E60839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B4F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Kenya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A5772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D8933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F1E744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6C8585D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0F8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Mozambique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AF752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2F413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018A52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2E3F7E81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6DE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Montenegro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65168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5.79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1F304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DADC3D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50C37C0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DB7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Angola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C3BAA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DC2D0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78FE6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5BFBAE5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A3A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Brazil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E5794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17.72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6ADF2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2F19C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</w:tr>
      <w:tr w:rsidR="00FA1C3C" w:rsidRPr="00FA1C3C" w14:paraId="68DB0E2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414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Mali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9D7D8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1E4B9B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7B578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7D246D4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865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Kuwait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1CFDE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90.41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45B2B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A63439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0.074</w:t>
            </w:r>
          </w:p>
        </w:tc>
      </w:tr>
      <w:tr w:rsidR="00FA1C3C" w:rsidRPr="00FA1C3C" w14:paraId="567F9C5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98A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Guinea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BC9564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20.05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00542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08826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FA1C3C" w:rsidRPr="00FA1C3C" w14:paraId="29C313B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17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Bulgaria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42A6C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A0623C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49014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FA1C3C" w:rsidRPr="00FA1C3C" w14:paraId="1EDE701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A7F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Nepal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B100C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E76CB4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CE92B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35E3F1F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CE88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369248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AA2E5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73D4DF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4F0E855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5B4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Bolivia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A8CF1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14.22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1DA1D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466E9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</w:tr>
      <w:tr w:rsidR="00FA1C3C" w:rsidRPr="00FA1C3C" w14:paraId="46BD3416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D0D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Nigeria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E296F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C62BC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79F564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FA1C3C" w:rsidRPr="00FA1C3C" w14:paraId="125623A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117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Guatemala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9F34D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10.31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2BBB6F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4AD83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220FA48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9DC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Nicaragua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8C9D0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43.15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7713AC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0DF8D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0.049</w:t>
            </w:r>
          </w:p>
        </w:tc>
      </w:tr>
      <w:tr w:rsidR="00FA1C3C" w:rsidRPr="00FA1C3C" w14:paraId="7CD8EDC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80E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Congo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2C769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CF243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2D09A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3A3D862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443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Indonesia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709FC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26.39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5ADD50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6B0F7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FA1C3C" w:rsidRPr="00FA1C3C" w14:paraId="671ECA5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316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Zambia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E234E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1584D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CE2E2A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09AE4B6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F827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Gabon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E4DA3A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16.28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8BC29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8955D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FA1C3C" w:rsidRPr="00FA1C3C" w14:paraId="4D1558B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A0C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Afghanistan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17135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4E850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24E9E2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56633BEC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40B8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349D5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48441C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3E197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49F200F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C33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Tanzania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9335A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24.03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7EDF8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20D0A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</w:tr>
      <w:tr w:rsidR="00FA1C3C" w:rsidRPr="00FA1C3C" w14:paraId="0FA1CEB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038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Uganda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C15A2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15.25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AC051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D0478F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</w:tr>
      <w:tr w:rsidR="00FA1C3C" w:rsidRPr="00FA1C3C" w14:paraId="4DFA2F1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D9D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Zimbabwe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A4E06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4168B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C9C79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7EE4831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535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Sri Lanka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A3A74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54DA6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C67383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</w:tr>
      <w:tr w:rsidR="00FA1C3C" w:rsidRPr="00FA1C3C" w14:paraId="318C52D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5BB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Jordan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1CB0B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B4DEB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DA72D9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FA1C3C" w:rsidRPr="00FA1C3C" w14:paraId="51EF9B2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03C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Qatar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67B9B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40.65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4B916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638B9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FA1C3C" w:rsidRPr="00FA1C3C" w14:paraId="0031977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7CA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Colombia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95A660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42.10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C08510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C90E2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FA1C3C" w:rsidRPr="00FA1C3C" w14:paraId="48679506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404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United Arab Emirates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E86BB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78437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E2E49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321E2CD1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D4C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Central African Republic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0CC39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B77EA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0DDA56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65070D2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18B4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Morocco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8295D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BC55B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7588A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67EA72E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53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Cameroon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28772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6F90B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50842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32C7380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04A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8B24E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12C93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0FB60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FA1C3C" w:rsidRPr="00FA1C3C" w14:paraId="7695404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C2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Philippines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F4567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21.62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A6BD3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A90E4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FA1C3C" w:rsidRPr="00FA1C3C" w14:paraId="7EADF5E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0F5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Palestine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461AC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33.47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57F0C0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C29A8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0.045</w:t>
            </w:r>
          </w:p>
        </w:tc>
      </w:tr>
      <w:tr w:rsidR="00FA1C3C" w:rsidRPr="00FA1C3C" w14:paraId="61D0781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14E8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South Sudan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EF05A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B813B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99FC83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389DCFA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C8B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Myanmar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CD596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13.83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2EB38A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EFA51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</w:tr>
      <w:tr w:rsidR="00FA1C3C" w:rsidRPr="00FA1C3C" w14:paraId="0758101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1C0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Thailand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802B6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8.89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0CF9F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ECB466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23D5F51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312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Swaziland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6157A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6B6B8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EBD00D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</w:tr>
      <w:tr w:rsidR="00FA1C3C" w:rsidRPr="00FA1C3C" w14:paraId="2ADA2D3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946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D10DF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26.49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12074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69AB3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</w:tr>
      <w:tr w:rsidR="00FA1C3C" w:rsidRPr="00FA1C3C" w14:paraId="518F9F2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F88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Mexico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1BC6C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33.06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BA4BC0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C4878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0.036</w:t>
            </w:r>
          </w:p>
        </w:tc>
      </w:tr>
      <w:tr w:rsidR="00FA1C3C" w:rsidRPr="00FA1C3C" w14:paraId="44830FB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90F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Cambodia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9ACF2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37.80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0A2EA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902FB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FA1C3C" w:rsidRPr="00FA1C3C" w14:paraId="368699D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AF7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Pakistan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FB07A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60632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4BA1A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2FFC18F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33F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Algeria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DB303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12.05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4D4C11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FF44B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FA1C3C" w:rsidRPr="00FA1C3C" w14:paraId="262AB9D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989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Venezuela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27CE8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2B524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20A36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FA1C3C" w:rsidRPr="00FA1C3C" w14:paraId="6E99751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F86B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Honduras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720B1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18.37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216D7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8FED9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FA1C3C" w:rsidRPr="00FA1C3C" w14:paraId="29FBDD3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F40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Russia 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F6C5E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60.91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13B65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480BD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FA1C3C" w:rsidRPr="00FA1C3C" w14:paraId="5A6EB13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DC0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Democratic Republic Of The Congo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438F2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D6A58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87164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6BFBEF5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0B34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Bangladesh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67B8A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26.13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230A8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569EED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</w:tr>
      <w:tr w:rsidR="00FA1C3C" w:rsidRPr="00FA1C3C" w14:paraId="092ECB9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C806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Brunei Darussalam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BE60A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43.49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8FA62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1177D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FA1C3C" w:rsidRPr="00FA1C3C" w14:paraId="7BCB812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50CD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Belarus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96B19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66.84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280E5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ACD09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</w:tr>
      <w:tr w:rsidR="00FA1C3C" w:rsidRPr="00FA1C3C" w14:paraId="242612F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B3DF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Turkey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CF51D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72.28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883B18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08D6D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0.067</w:t>
            </w:r>
          </w:p>
        </w:tc>
      </w:tr>
      <w:tr w:rsidR="00FA1C3C" w:rsidRPr="00FA1C3C" w14:paraId="12DEF15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EB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Rwanda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B24BA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0C3BF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F0D0E0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A1C3C" w:rsidRPr="00FA1C3C" w14:paraId="32C9275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5A32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Uzbekistan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D9DD7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21.29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1326D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011D2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</w:tr>
      <w:tr w:rsidR="00FA1C3C" w:rsidRPr="00FA1C3C" w14:paraId="7703D29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B58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Kazakhstan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89DF69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0A122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5505CC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FA1C3C" w:rsidRPr="00FA1C3C" w14:paraId="228822F8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1A0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Singapore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FABF2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4.70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8547D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E15BB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FA1C3C" w:rsidRPr="00FA1C3C" w14:paraId="6597957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535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351DB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C26DF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8788C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A1C3C" w:rsidRPr="00FA1C3C" w14:paraId="79F22697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8ED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Burundi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6C64D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7.37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665EE3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08214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FA1C3C" w:rsidRPr="00FA1C3C" w14:paraId="03DD1BEB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61B8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Tajikistan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14BB3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163.73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5F11F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23937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</w:tr>
      <w:tr w:rsidR="00FA1C3C" w:rsidRPr="00FA1C3C" w14:paraId="0177D45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B81F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Iraq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986E7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36.47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D329C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A3155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</w:tr>
      <w:tr w:rsidR="00FA1C3C" w:rsidRPr="00FA1C3C" w14:paraId="2C5250D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3777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Somalia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CEC7F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DA3E2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337520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5EA5E75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762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Libya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966013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16.55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49CB2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4DB1A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</w:tr>
      <w:tr w:rsidR="00FA1C3C" w:rsidRPr="00FA1C3C" w14:paraId="347D98FF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652C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Equatorial Guinea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03E12C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18.09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63A60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8B6B655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</w:tr>
      <w:tr w:rsidR="00FA1C3C" w:rsidRPr="00FA1C3C" w14:paraId="0E89751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385E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Egypt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763DC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41.88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2D982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B6AFF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FA1C3C" w:rsidRPr="00FA1C3C" w14:paraId="6F6CAFC5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DAF3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Yemen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488AF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15.11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074A9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78128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FA1C3C" w:rsidRPr="00FA1C3C" w14:paraId="270CDEDA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FEC5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Azerbaijan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FD9C1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13.51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5AE87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1BDD7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0.023</w:t>
            </w:r>
          </w:p>
        </w:tc>
      </w:tr>
      <w:tr w:rsidR="00FA1C3C" w:rsidRPr="00FA1C3C" w14:paraId="0C6778F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0DF7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Bahrain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FA7C2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30.62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787E5D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CFBBE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FA1C3C" w:rsidRPr="00FA1C3C" w14:paraId="30529739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4CA0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Saudi Arabia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63943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23.32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3A69E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9BA6F74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</w:tr>
      <w:tr w:rsidR="00FA1C3C" w:rsidRPr="00FA1C3C" w14:paraId="2AACCFF4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36A1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Cuba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0BC9EE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17.37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2994E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9BD0FA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FA1C3C" w:rsidRPr="00FA1C3C" w14:paraId="79F7E64E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81E8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Lao People's Democratic Republic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2E78F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56.16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E2C9A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2DC553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FA1C3C" w:rsidRPr="00FA1C3C" w14:paraId="6D15A19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2BE2" w14:textId="1FB027D2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Iran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DF462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56.76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934A3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58C8A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FA1C3C" w:rsidRPr="00FA1C3C" w14:paraId="60FAB0EC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837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Syria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694E1EB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33.29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8ABE54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8B9C0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FA1C3C" w:rsidRPr="00FA1C3C" w14:paraId="530AE8ED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3417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7519F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71063F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CB305C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A1C3C" w:rsidRPr="00FA1C3C" w14:paraId="0C03BAD2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AC14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Djibouti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546F4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5.07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3CF158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19A6AE6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FA1C3C" w:rsidRPr="00FA1C3C" w14:paraId="10D78A73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C5C9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China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0A6C09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6.39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DF8211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CC51C3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FA1C3C" w:rsidRPr="00FA1C3C" w14:paraId="25A02980" w14:textId="77777777" w:rsidTr="002B5B1F">
        <w:trPr>
          <w:trHeight w:val="3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20EA" w14:textId="77777777" w:rsidR="004B4C40" w:rsidRPr="00FA1C3C" w:rsidRDefault="004B4C40" w:rsidP="00C33F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Eritrea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8E68142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11.04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F9890E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DA5FF7" w14:textId="77777777" w:rsidR="004B4C40" w:rsidRPr="00FA1C3C" w:rsidRDefault="004B4C40" w:rsidP="00C33F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C3C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</w:tbl>
    <w:p w14:paraId="37D6051F" w14:textId="3181B6FD" w:rsidR="00E94AC4" w:rsidRPr="00A35592" w:rsidRDefault="00E94AC4" w:rsidP="00E94AC4">
      <w:pPr>
        <w:rPr>
          <w:rFonts w:ascii="Times New Roman" w:hAnsi="Times New Roman" w:cs="Times New Roman"/>
          <w:sz w:val="24"/>
          <w:szCs w:val="24"/>
        </w:rPr>
      </w:pPr>
    </w:p>
    <w:p w14:paraId="4CEC21C0" w14:textId="77777777" w:rsidR="002E7FA3" w:rsidRPr="009E54B4" w:rsidRDefault="002E7FA3" w:rsidP="00E94AC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68557724"/>
        <w:docPartObj>
          <w:docPartGallery w:val="Bibliographies"/>
          <w:docPartUnique/>
        </w:docPartObj>
      </w:sdtPr>
      <w:sdtEndPr/>
      <w:sdtContent>
        <w:p w14:paraId="6F457D08" w14:textId="5C04E1E3" w:rsidR="002E7FA3" w:rsidRPr="009E54B4" w:rsidRDefault="002E7FA3">
          <w:pPr>
            <w:pStyle w:val="Heading1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E54B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References</w:t>
          </w:r>
        </w:p>
        <w:p w14:paraId="71627FED" w14:textId="77777777" w:rsidR="009E54B4" w:rsidRPr="009E54B4" w:rsidRDefault="009E54B4" w:rsidP="009E54B4">
          <w:pPr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18C4D9F3" w14:textId="77777777" w:rsidR="009E54B4" w:rsidRPr="009E54B4" w:rsidRDefault="002E7FA3" w:rsidP="009E54B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54B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E54B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E54B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E54B4" w:rsidRPr="009E54B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Johnson, G.G., and J. Weggenmann. 2013. "Exploratory research applying Benford’s Law to selected balances in the financial statements of state governments." </w:t>
              </w:r>
              <w:r w:rsidR="009E54B4" w:rsidRPr="009E54B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Academy of Accounting and Financial Studies Journal</w:t>
              </w:r>
              <w:r w:rsidR="009E54B4" w:rsidRPr="009E54B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17(3): 31-44.</w:t>
              </w:r>
            </w:p>
            <w:p w14:paraId="52EA039C" w14:textId="77777777" w:rsidR="009E54B4" w:rsidRPr="009E54B4" w:rsidRDefault="009E54B4" w:rsidP="009E54B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54B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Kuiper, N. H. 1960. "Tests concerning random points on a circle. P, ." </w:t>
              </w:r>
              <w:r w:rsidRPr="009E54B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roceedings of the Koninklijke Nederlandse Akademie van Wetenschappen</w:t>
              </w:r>
              <w:r w:rsidRPr="009E54B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Series A. 63 (pp. 38–47).</w:t>
              </w:r>
            </w:p>
            <w:p w14:paraId="76996AAF" w14:textId="77777777" w:rsidR="009E54B4" w:rsidRPr="009E54B4" w:rsidRDefault="009E54B4" w:rsidP="009E54B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54B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Nigrini, Mark J. 2012. </w:t>
              </w:r>
              <w:r w:rsidRPr="009E54B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Benford's Law: Applications for Forensic Accounting, Auditing, and Fraud Detection.</w:t>
              </w:r>
              <w:r w:rsidRPr="009E54B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New Jersey: Wiley Corporate F&amp;A.</w:t>
              </w:r>
            </w:p>
            <w:p w14:paraId="57DA834E" w14:textId="0208CB93" w:rsidR="002E7FA3" w:rsidRPr="00A35592" w:rsidRDefault="002E7FA3" w:rsidP="009E54B4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54B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52AED33" w14:textId="77777777" w:rsidR="002E7FA3" w:rsidRPr="00A35592" w:rsidRDefault="002E7FA3" w:rsidP="00E94AC4">
      <w:pPr>
        <w:rPr>
          <w:rFonts w:ascii="Times New Roman" w:hAnsi="Times New Roman" w:cs="Times New Roman"/>
          <w:sz w:val="24"/>
          <w:szCs w:val="24"/>
        </w:rPr>
      </w:pPr>
    </w:p>
    <w:sectPr w:rsidR="002E7FA3" w:rsidRPr="00A3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61CB1" w14:textId="77777777" w:rsidR="00E96F4E" w:rsidRDefault="00E96F4E" w:rsidP="00C33F69">
      <w:pPr>
        <w:spacing w:after="0" w:line="240" w:lineRule="auto"/>
      </w:pPr>
      <w:r>
        <w:separator/>
      </w:r>
    </w:p>
  </w:endnote>
  <w:endnote w:type="continuationSeparator" w:id="0">
    <w:p w14:paraId="15FBD4C0" w14:textId="77777777" w:rsidR="00E96F4E" w:rsidRDefault="00E96F4E" w:rsidP="00C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09A92" w14:textId="77777777" w:rsidR="00E96F4E" w:rsidRDefault="00E96F4E" w:rsidP="00C33F69">
      <w:pPr>
        <w:spacing w:after="0" w:line="240" w:lineRule="auto"/>
      </w:pPr>
      <w:r>
        <w:separator/>
      </w:r>
    </w:p>
  </w:footnote>
  <w:footnote w:type="continuationSeparator" w:id="0">
    <w:p w14:paraId="5FAB8A10" w14:textId="77777777" w:rsidR="00E96F4E" w:rsidRDefault="00E96F4E" w:rsidP="00C33F69">
      <w:pPr>
        <w:spacing w:after="0" w:line="240" w:lineRule="auto"/>
      </w:pPr>
      <w:r>
        <w:continuationSeparator/>
      </w:r>
    </w:p>
  </w:footnote>
  <w:footnote w:id="1">
    <w:p w14:paraId="0EBAE217" w14:textId="77777777" w:rsidR="00D05917" w:rsidRDefault="00D05917" w:rsidP="002F16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6DA6">
          <w:rPr>
            <w:rStyle w:val="Hyperlink"/>
            <w:rFonts w:ascii="Times New Roman" w:hAnsi="Times New Roman" w:cs="Times New Roman"/>
          </w:rPr>
          <w:t>https://www.ecdc.europa.eu/en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C4"/>
    <w:rsid w:val="000536CA"/>
    <w:rsid w:val="000C05AA"/>
    <w:rsid w:val="001601E9"/>
    <w:rsid w:val="001D08AC"/>
    <w:rsid w:val="002B5B1F"/>
    <w:rsid w:val="002E7FA3"/>
    <w:rsid w:val="002F1601"/>
    <w:rsid w:val="003412BC"/>
    <w:rsid w:val="0036519A"/>
    <w:rsid w:val="003D5168"/>
    <w:rsid w:val="004B4C40"/>
    <w:rsid w:val="005A07DD"/>
    <w:rsid w:val="005F6074"/>
    <w:rsid w:val="00614169"/>
    <w:rsid w:val="00615BC4"/>
    <w:rsid w:val="006706DA"/>
    <w:rsid w:val="00697F8A"/>
    <w:rsid w:val="007D1BAC"/>
    <w:rsid w:val="00807E34"/>
    <w:rsid w:val="00836622"/>
    <w:rsid w:val="008757D9"/>
    <w:rsid w:val="00931BE0"/>
    <w:rsid w:val="009B33EA"/>
    <w:rsid w:val="009E2C80"/>
    <w:rsid w:val="009E54B4"/>
    <w:rsid w:val="009F0445"/>
    <w:rsid w:val="00A35592"/>
    <w:rsid w:val="00AB7C24"/>
    <w:rsid w:val="00B06BB8"/>
    <w:rsid w:val="00C33F69"/>
    <w:rsid w:val="00C65CBB"/>
    <w:rsid w:val="00C80DF6"/>
    <w:rsid w:val="00CA12E7"/>
    <w:rsid w:val="00CD1861"/>
    <w:rsid w:val="00D05917"/>
    <w:rsid w:val="00DC14B1"/>
    <w:rsid w:val="00E4628B"/>
    <w:rsid w:val="00E727CE"/>
    <w:rsid w:val="00E94AC4"/>
    <w:rsid w:val="00E96F4E"/>
    <w:rsid w:val="00F7588D"/>
    <w:rsid w:val="00F8220E"/>
    <w:rsid w:val="00F934A3"/>
    <w:rsid w:val="00FA1C3C"/>
    <w:rsid w:val="00F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D616"/>
  <w15:chartTrackingRefBased/>
  <w15:docId w15:val="{B4B150F3-DA75-41D0-8C0F-5EE259AA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A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F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F69"/>
    <w:rPr>
      <w:color w:val="954F72"/>
      <w:u w:val="single"/>
    </w:rPr>
  </w:style>
  <w:style w:type="paragraph" w:customStyle="1" w:styleId="msonormal0">
    <w:name w:val="msonormal"/>
    <w:basedOn w:val="Normal"/>
    <w:rsid w:val="00C3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3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C33F69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C33F69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C33F69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C33F6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C33F69"/>
    <w:pP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C33F69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C33F69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C33F69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C33F69"/>
    <w:pP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C33F6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C33F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C33F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C3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C33F69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C33F69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C33F69"/>
    <w:pPr>
      <w:shd w:val="clear" w:color="000000" w:fill="007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C33F69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C33F69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C33F69"/>
    <w:pPr>
      <w:pBdr>
        <w:top w:val="single" w:sz="8" w:space="0" w:color="auto"/>
        <w:left w:val="single" w:sz="8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C33F69"/>
    <w:pPr>
      <w:pBdr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C3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0">
    <w:name w:val="xl90"/>
    <w:basedOn w:val="Normal"/>
    <w:rsid w:val="00C33F6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C33F69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C33F69"/>
    <w:pPr>
      <w:pBdr>
        <w:bottom w:val="single" w:sz="4" w:space="0" w:color="8EA9D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C33F69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C33F69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C33F69"/>
    <w:pPr>
      <w:pBdr>
        <w:top w:val="single" w:sz="8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C33F69"/>
    <w:pPr>
      <w:pBdr>
        <w:bottom w:val="single" w:sz="8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C33F69"/>
    <w:pPr>
      <w:shd w:val="clear" w:color="000000" w:fill="00B0F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C33F69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C33F69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C33F69"/>
    <w:pPr>
      <w:pBdr>
        <w:top w:val="single" w:sz="8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C33F69"/>
    <w:pPr>
      <w:pBdr>
        <w:bottom w:val="single" w:sz="8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C33F69"/>
    <w:pPr>
      <w:shd w:val="clear" w:color="000000" w:fill="00B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C33F69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C33F69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Normal"/>
    <w:rsid w:val="00C33F69"/>
    <w:pPr>
      <w:pBdr>
        <w:top w:val="single" w:sz="8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C33F69"/>
    <w:pPr>
      <w:pBdr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C33F69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C33F6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C33F6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C33F69"/>
    <w:pPr>
      <w:pBdr>
        <w:top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Normal"/>
    <w:rsid w:val="00C33F69"/>
    <w:pPr>
      <w:pBdr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Normal"/>
    <w:rsid w:val="00C33F69"/>
    <w:pP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C33F69"/>
    <w:pP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C33F69"/>
    <w:pP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C33F69"/>
    <w:pPr>
      <w:pBdr>
        <w:top w:val="single" w:sz="8" w:space="0" w:color="auto"/>
      </w:pBd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al"/>
    <w:rsid w:val="00C33F69"/>
    <w:pPr>
      <w:pBdr>
        <w:bottom w:val="single" w:sz="8" w:space="0" w:color="auto"/>
      </w:pBd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Normal"/>
    <w:rsid w:val="00C33F6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3F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F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F69"/>
    <w:rPr>
      <w:vertAlign w:val="superscript"/>
    </w:rPr>
  </w:style>
  <w:style w:type="table" w:styleId="PlainTable2">
    <w:name w:val="Plain Table 2"/>
    <w:basedOn w:val="TableNormal"/>
    <w:uiPriority w:val="42"/>
    <w:rsid w:val="002E7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FA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mi">
    <w:name w:val="mi"/>
    <w:basedOn w:val="DefaultParagraphFont"/>
    <w:rsid w:val="002E7FA3"/>
  </w:style>
  <w:style w:type="character" w:customStyle="1" w:styleId="mo">
    <w:name w:val="mo"/>
    <w:basedOn w:val="DefaultParagraphFont"/>
    <w:rsid w:val="002E7FA3"/>
  </w:style>
  <w:style w:type="character" w:customStyle="1" w:styleId="Heading1Char">
    <w:name w:val="Heading 1 Char"/>
    <w:basedOn w:val="DefaultParagraphFont"/>
    <w:link w:val="Heading1"/>
    <w:uiPriority w:val="9"/>
    <w:rsid w:val="002E7F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E7FA3"/>
  </w:style>
  <w:style w:type="paragraph" w:styleId="NoSpacing">
    <w:name w:val="No Spacing"/>
    <w:uiPriority w:val="1"/>
    <w:qFormat/>
    <w:rsid w:val="009E5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cdc.europa.eu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Kui60</b:Tag>
    <b:SourceType>JournalArticle</b:SourceType>
    <b:Guid>{A64A1DA4-BF22-41BA-8E11-48970B557DD6}</b:Guid>
    <b:Author>
      <b:Author>
        <b:NameList>
          <b:Person>
            <b:Last>Kuiper</b:Last>
            <b:First>N.</b:First>
            <b:Middle>H.</b:Middle>
          </b:Person>
        </b:NameList>
      </b:Author>
    </b:Author>
    <b:Title>Tests concerning random points on a circle. P, </b:Title>
    <b:JournalName>roceedings of the Koninklijke Nederlandse Akademie van Wetenschappen</b:JournalName>
    <b:Year>1960</b:Year>
    <b:Pages>Series A. 63 (pp. 38–47).</b:Pages>
    <b:RefOrder>1</b:RefOrder>
  </b:Source>
  <b:Source>
    <b:Tag>Mar12</b:Tag>
    <b:SourceType>Book</b:SourceType>
    <b:Guid>{8629321A-39DD-4B85-BDD3-420B19433E4E}</b:Guid>
    <b:Title>Benford's Law: Applications for Forensic Accounting, Auditing, and Fraud Detection</b:Title>
    <b:Year>2012</b:Year>
    <b:Author>
      <b:Author>
        <b:NameList>
          <b:Person>
            <b:Last>Nigrini</b:Last>
            <b:First>Mark</b:First>
            <b:Middle>J.</b:Middle>
          </b:Person>
        </b:NameList>
      </b:Author>
    </b:Author>
    <b:City>New Jersey</b:City>
    <b:Publisher>Wiley Corporate F&amp;A</b:Publisher>
    <b:RefOrder>2</b:RefOrder>
  </b:Source>
  <b:Source>
    <b:Tag>GGJ13</b:Tag>
    <b:SourceType>JournalArticle</b:SourceType>
    <b:Guid>{1074B601-0A33-4C44-8FE2-73C70DA3405A}</b:Guid>
    <b:Title>Exploratory research applying Benford’s Law    to selected balances in the financial statements of state governments</b:Title>
    <b:Year>2013</b:Year>
    <b:Author>
      <b:Author>
        <b:NameList>
          <b:Person>
            <b:Last>Johnson</b:Last>
            <b:First>G.G.</b:First>
          </b:Person>
          <b:Person>
            <b:Last>Weggenmann</b:Last>
            <b:First>J.</b:First>
          </b:Person>
        </b:NameList>
      </b:Author>
    </b:Author>
    <b:JournalName>Academy of Accounting and Financial Studies Journal</b:JournalName>
    <b:Pages>17(3): 31-44</b:Pages>
    <b:RefOrder>3</b:RefOrder>
  </b:Source>
</b:Sources>
</file>

<file path=customXml/itemProps1.xml><?xml version="1.0" encoding="utf-8"?>
<ds:datastoreItem xmlns:ds="http://schemas.openxmlformats.org/officeDocument/2006/customXml" ds:itemID="{F3DEA2AD-D2D5-420C-A171-A0765828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Килани Ахмад</dc:creator>
  <cp:keywords/>
  <dc:description/>
  <cp:lastModifiedBy>George Georgiou</cp:lastModifiedBy>
  <cp:revision>15</cp:revision>
  <dcterms:created xsi:type="dcterms:W3CDTF">2020-11-24T07:47:00Z</dcterms:created>
  <dcterms:modified xsi:type="dcterms:W3CDTF">2020-11-24T09:23:00Z</dcterms:modified>
</cp:coreProperties>
</file>