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00AEEF"/>
          <w:sz w:val="20"/>
          <w:szCs w:val="20"/>
        </w:rPr>
        <w:t xml:space="preserve">T LEVEL DIGITAL — SOFTWARE DEVELOPER OCCUPATIONAL SPECIALISM</w:t>
      </w:r>
    </w:p>
    <w:p>
      <w:pPr>
        <w:spacing w:after="80"/>
      </w:pPr>
      <w:r>
        <w:rPr>
          <w:rFonts w:ascii="Calibri" w:cs="Calibri" w:eastAsia="Calibri" w:hAnsi="Calibri"/>
          <w:b/>
          <w:bCs/>
          <w:color w:val="6E6E76"/>
          <w:sz w:val="24"/>
          <w:szCs w:val="24"/>
        </w:rPr>
        <w:t xml:space="preserve">Skills Assessment Practice Project</w:t>
      </w:r>
    </w:p>
    <w:p>
      <w:pPr>
        <w:spacing w:after="260"/>
      </w:pPr>
      <w:r>
        <w:rPr>
          <w:rFonts w:ascii="Calibri" w:cs="Calibri" w:eastAsia="Calibri" w:hAnsi="Calibri"/>
          <w:b/>
          <w:bCs/>
          <w:color w:val="241B2F"/>
          <w:sz w:val="56"/>
          <w:szCs w:val="56"/>
        </w:rPr>
        <w:t xml:space="preserve">Online Library Loan System</w:t>
      </w:r>
    </w:p>
    <w:p>
      <w:pPr>
        <w:spacing w:after="400"/>
      </w:pPr>
      <w:r>
        <w:rPr>
          <w:rFonts w:ascii="Calibri" w:cs="Calibri" w:eastAsia="Calibri" w:hAnsi="Calibri"/>
          <w:i/>
          <w:iCs/>
          <w:color w:val="6E6E76"/>
          <w:sz w:val="24"/>
          <w:szCs w:val="24"/>
        </w:rPr>
        <w:t xml:space="preserve">A full analyse → design → implement → test → deploy → maintain project, built and evidenced entirely through GitHub.</w:t>
      </w:r>
    </w:p>
    <w:p>
      <w:pPr>
        <w:spacing w:after="300" w:line="276"/>
      </w:pPr>
      <w:r>
        <w:rPr>
          <w:rFonts w:ascii="Calibri" w:cs="Calibri" w:eastAsia="Calibri" w:hAnsi="Calibri"/>
          <w:b/>
          <w:bCs/>
          <w:color w:val="2B2B2E"/>
          <w:sz w:val="21"/>
          <w:szCs w:val="21"/>
        </w:rPr>
        <w:t xml:space="preserve">This brief is a practice project for skills development and internal assessment. </w:t>
      </w:r>
      <w:r>
        <w:rPr>
          <w:rFonts w:ascii="Calibri" w:cs="Calibri" w:eastAsia="Calibri" w:hAnsi="Calibri"/>
          <w:color w:val="2B2B2E"/>
          <w:sz w:val="21"/>
          <w:szCs w:val="21"/>
        </w:rPr>
        <w:t xml:space="preserve">It is not the official employer-set project (ESP) issued by the awarding organisation, but it is designed to let a learner produce and evidence work against every content area of the Software Developer OSP: 1 (Analyse), 2 (Ethics &amp; Risk), 3 (Reliable Sources), 4 (Design), 5 (Collaborative Environment), 6 (Implementation), 7 (Testing) and 8 (Change, Maintain &amp; Support).</w:t>
      </w:r>
    </w:p>
    <w:p>
      <w:pPr>
        <w:spacing w:after="200"/>
      </w:pPr>
    </w:p>
    <w:p>
      <w:pPr>
        <w:pStyle w:val="Heading1"/>
        <w:pBdr>
          <w:bottom w:val="single" w:color="92278F" w:sz="10" w:space="4"/>
        </w:pBdr>
        <w:spacing w:after="160" w:before="360"/>
      </w:pPr>
      <w:r>
        <w:rPr>
          <w:rFonts w:ascii="Calibri" w:cs="Calibri" w:eastAsia="Calibri" w:hAnsi="Calibri"/>
          <w:b/>
          <w:bCs/>
          <w:color w:val="241B2F"/>
          <w:sz w:val="30"/>
          <w:szCs w:val="30"/>
        </w:rPr>
        <w:t xml:space="preserve">1. The Client Brief</w:t>
      </w:r>
    </w:p>
    <w:p>
      <w:pPr>
        <w:spacing w:after="160" w:line="276"/>
      </w:pPr>
      <w:r>
        <w:rPr>
          <w:rFonts w:ascii="Calibri" w:cs="Calibri" w:eastAsia="Calibri" w:hAnsi="Calibri"/>
          <w:color w:val="2B2B2E"/>
          <w:sz w:val="21"/>
          <w:szCs w:val="21"/>
        </w:rPr>
        <w:t xml:space="preserve">You have been approached by the librarian at a secondary school to replace their paper-based book loan register with a digital Online Library Loan System. Students currently have to ask a member of staff whether a book is available, and the librarian tracks loans, due dates and fines by hand in a card index — it is slow, error-prone, and gives no overview of what is overdue.</w:t>
      </w:r>
    </w:p>
    <w:p>
      <w:pPr>
        <w:spacing w:after="160" w:line="276"/>
      </w:pPr>
      <w:r>
        <w:rPr>
          <w:rFonts w:ascii="Calibri" w:cs="Calibri" w:eastAsia="Calibri" w:hAnsi="Calibri"/>
          <w:color w:val="2B2B2E"/>
          <w:sz w:val="21"/>
          <w:szCs w:val="21"/>
        </w:rPr>
        <w:t xml:space="preserve">The client's brief, in their own words:</w:t>
      </w:r>
    </w:p>
    <w:p>
      <w:pPr>
        <w:pBdr>
          <w:left w:val="single" w:color="00AEEF" w:sz="18" w:space="8"/>
        </w:pBdr>
        <w:spacing w:after="260"/>
        <w:ind w:left="400"/>
      </w:pPr>
      <w:r>
        <w:rPr>
          <w:rFonts w:ascii="Calibri" w:cs="Calibri" w:eastAsia="Calibri" w:hAnsi="Calibri"/>
          <w:i/>
          <w:iCs/>
          <w:color w:val="2B2B2E"/>
          <w:sz w:val="21"/>
          <w:szCs w:val="21"/>
        </w:rPr>
        <w:t xml:space="preserve">"I want students to be able to search for a book themselves and see straight away if it's in. I want to issue and return books in a couple of clicks, and I want the system to work out fines for me — I always forget. And I need to be able to see, at a glance, what's overdue."</w:t>
      </w:r>
    </w:p>
    <w:p>
      <w:pPr>
        <w:spacing w:after="160" w:line="276"/>
      </w:pPr>
      <w:r>
        <w:rPr>
          <w:rFonts w:ascii="Calibri" w:cs="Calibri" w:eastAsia="Calibri" w:hAnsi="Calibri"/>
          <w:color w:val="2B2B2E"/>
          <w:sz w:val="21"/>
          <w:szCs w:val="21"/>
        </w:rPr>
        <w:t xml:space="preserve">This is intentionally an open brief — as in industry, some detail is left for you to research, decide and justify (e.g. exact fine amounts, loan periods, borrowing limits). Record and justify every assumption you make in your design documentation (Content Area 1 &amp; 3 evidence).</w:t>
      </w:r>
    </w:p>
    <w:p>
      <w:pPr>
        <w:pStyle w:val="Heading1"/>
        <w:pBdr>
          <w:bottom w:val="single" w:color="92278F" w:sz="10" w:space="4"/>
        </w:pBdr>
        <w:spacing w:after="160" w:before="360"/>
      </w:pPr>
      <w:r>
        <w:rPr>
          <w:rFonts w:ascii="Calibri" w:cs="Calibri" w:eastAsia="Calibri" w:hAnsi="Calibri"/>
          <w:b/>
          <w:bCs/>
          <w:color w:val="241B2F"/>
          <w:sz w:val="30"/>
          <w:szCs w:val="30"/>
        </w:rPr>
        <w:t xml:space="preserve">2. Requirements</w:t>
      </w:r>
    </w:p>
    <w:p>
      <w:pPr>
        <w:pStyle w:val="Heading2"/>
        <w:spacing w:after="120" w:before="260"/>
      </w:pPr>
      <w:r>
        <w:rPr>
          <w:rFonts w:ascii="Calibri" w:cs="Calibri" w:eastAsia="Calibri" w:hAnsi="Calibri"/>
          <w:b/>
          <w:bCs/>
          <w:color w:val="92278F"/>
          <w:sz w:val="24"/>
          <w:szCs w:val="24"/>
        </w:rPr>
        <w:t xml:space="preserve">2.1 Functional requirements</w:t>
      </w:r>
    </w:p>
    <w:p>
      <w:pPr>
        <w:pStyle w:val="ListParagraph"/>
        <w:numPr>
          <w:ilvl w:val="0"/>
          <w:numId w:val="2"/>
        </w:numPr>
        <w:spacing w:after="90" w:line="264"/>
      </w:pPr>
      <w:r>
        <w:rPr>
          <w:rFonts w:ascii="Calibri" w:cs="Calibri" w:eastAsia="Calibri" w:hAnsi="Calibri"/>
          <w:b/>
          <w:bCs/>
          <w:color w:val="2B2B2E"/>
          <w:sz w:val="21"/>
          <w:szCs w:val="21"/>
        </w:rPr>
        <w:t xml:space="preserve">Catalogue search — </w:t>
      </w:r>
      <w:r>
        <w:rPr>
          <w:rFonts w:ascii="Calibri" w:cs="Calibri" w:eastAsia="Calibri" w:hAnsi="Calibri"/>
          <w:color w:val="2B2B2E"/>
          <w:sz w:val="21"/>
          <w:szCs w:val="21"/>
        </w:rPr>
        <w:t xml:space="preserve">by title, author, ISBN or genre, returning current availability.</w:t>
      </w:r>
    </w:p>
    <w:p>
      <w:pPr>
        <w:pStyle w:val="ListParagraph"/>
        <w:numPr>
          <w:ilvl w:val="0"/>
          <w:numId w:val="2"/>
        </w:numPr>
        <w:spacing w:after="90" w:line="264"/>
      </w:pPr>
      <w:r>
        <w:rPr>
          <w:rFonts w:ascii="Calibri" w:cs="Calibri" w:eastAsia="Calibri" w:hAnsi="Calibri"/>
          <w:b/>
          <w:bCs/>
          <w:color w:val="2B2B2E"/>
          <w:sz w:val="21"/>
          <w:szCs w:val="21"/>
        </w:rPr>
        <w:t xml:space="preserve">View book details — </w:t>
      </w:r>
      <w:r>
        <w:rPr>
          <w:rFonts w:ascii="Calibri" w:cs="Calibri" w:eastAsia="Calibri" w:hAnsi="Calibri"/>
          <w:color w:val="2B2B2E"/>
          <w:sz w:val="21"/>
          <w:szCs w:val="21"/>
        </w:rPr>
        <w:t xml:space="preserve">description, total and available copies, shelf/location reference.</w:t>
      </w:r>
    </w:p>
    <w:p>
      <w:pPr>
        <w:pStyle w:val="ListParagraph"/>
        <w:numPr>
          <w:ilvl w:val="0"/>
          <w:numId w:val="2"/>
        </w:numPr>
        <w:spacing w:after="90" w:line="264"/>
      </w:pPr>
      <w:r>
        <w:rPr>
          <w:rFonts w:ascii="Calibri" w:cs="Calibri" w:eastAsia="Calibri" w:hAnsi="Calibri"/>
          <w:b/>
          <w:bCs/>
          <w:color w:val="2B2B2E"/>
          <w:sz w:val="21"/>
          <w:szCs w:val="21"/>
        </w:rPr>
        <w:t xml:space="preserve">Issue a book — </w:t>
      </w:r>
      <w:r>
        <w:rPr>
          <w:rFonts w:ascii="Calibri" w:cs="Calibri" w:eastAsia="Calibri" w:hAnsi="Calibri"/>
          <w:color w:val="2B2B2E"/>
          <w:sz w:val="21"/>
          <w:szCs w:val="21"/>
        </w:rPr>
        <w:t xml:space="preserve">record the borrower, issue date, and automatically calculate a due date (e.g. 14 days later).</w:t>
      </w:r>
    </w:p>
    <w:p>
      <w:pPr>
        <w:pStyle w:val="ListParagraph"/>
        <w:numPr>
          <w:ilvl w:val="0"/>
          <w:numId w:val="2"/>
        </w:numPr>
        <w:spacing w:after="90" w:line="264"/>
      </w:pPr>
      <w:r>
        <w:rPr>
          <w:rFonts w:ascii="Calibri" w:cs="Calibri" w:eastAsia="Calibri" w:hAnsi="Calibri"/>
          <w:b/>
          <w:bCs/>
          <w:color w:val="2B2B2E"/>
          <w:sz w:val="21"/>
          <w:szCs w:val="21"/>
        </w:rPr>
        <w:t xml:space="preserve">Return a book — </w:t>
      </w:r>
      <w:r>
        <w:rPr>
          <w:rFonts w:ascii="Calibri" w:cs="Calibri" w:eastAsia="Calibri" w:hAnsi="Calibri"/>
          <w:color w:val="2B2B2E"/>
          <w:sz w:val="21"/>
          <w:szCs w:val="21"/>
        </w:rPr>
        <w:t xml:space="preserve">record the return date and automatically calculate any overdue fine.</w:t>
      </w:r>
    </w:p>
    <w:p>
      <w:pPr>
        <w:pStyle w:val="ListParagraph"/>
        <w:numPr>
          <w:ilvl w:val="0"/>
          <w:numId w:val="2"/>
        </w:numPr>
        <w:spacing w:after="90" w:line="264"/>
      </w:pPr>
      <w:r>
        <w:rPr>
          <w:rFonts w:ascii="Calibri" w:cs="Calibri" w:eastAsia="Calibri" w:hAnsi="Calibri"/>
          <w:b/>
          <w:bCs/>
          <w:color w:val="2B2B2E"/>
          <w:sz w:val="21"/>
          <w:szCs w:val="21"/>
        </w:rPr>
        <w:t xml:space="preserve">Renew a loan — </w:t>
      </w:r>
      <w:r>
        <w:rPr>
          <w:rFonts w:ascii="Calibri" w:cs="Calibri" w:eastAsia="Calibri" w:hAnsi="Calibri"/>
          <w:color w:val="2B2B2E"/>
          <w:sz w:val="21"/>
          <w:szCs w:val="21"/>
        </w:rPr>
        <w:t xml:space="preserve">extend the due date, provided no other student has reserved the book.</w:t>
      </w:r>
    </w:p>
    <w:p>
      <w:pPr>
        <w:pStyle w:val="ListParagraph"/>
        <w:numPr>
          <w:ilvl w:val="0"/>
          <w:numId w:val="2"/>
        </w:numPr>
        <w:spacing w:after="90" w:line="264"/>
      </w:pPr>
      <w:r>
        <w:rPr>
          <w:rFonts w:ascii="Calibri" w:cs="Calibri" w:eastAsia="Calibri" w:hAnsi="Calibri"/>
          <w:b/>
          <w:bCs/>
          <w:color w:val="2B2B2E"/>
          <w:sz w:val="21"/>
          <w:szCs w:val="21"/>
        </w:rPr>
        <w:t xml:space="preserve">Reserve a book — </w:t>
      </w:r>
      <w:r>
        <w:rPr>
          <w:rFonts w:ascii="Calibri" w:cs="Calibri" w:eastAsia="Calibri" w:hAnsi="Calibri"/>
          <w:color w:val="2B2B2E"/>
          <w:sz w:val="21"/>
          <w:szCs w:val="21"/>
        </w:rPr>
        <w:t xml:space="preserve">place a hold on a book that is currently on loan (stretch goal: notify the student when it is returned).</w:t>
      </w:r>
    </w:p>
    <w:p>
      <w:pPr>
        <w:pStyle w:val="ListParagraph"/>
        <w:numPr>
          <w:ilvl w:val="0"/>
          <w:numId w:val="2"/>
        </w:numPr>
        <w:spacing w:after="90" w:line="264"/>
      </w:pPr>
      <w:r>
        <w:rPr>
          <w:rFonts w:ascii="Calibri" w:cs="Calibri" w:eastAsia="Calibri" w:hAnsi="Calibri"/>
          <w:b/>
          <w:bCs/>
          <w:color w:val="2B2B2E"/>
          <w:sz w:val="21"/>
          <w:szCs w:val="21"/>
        </w:rPr>
        <w:t xml:space="preserve">Borrower accounts — </w:t>
      </w:r>
      <w:r>
        <w:rPr>
          <w:rFonts w:ascii="Calibri" w:cs="Calibri" w:eastAsia="Calibri" w:hAnsi="Calibri"/>
          <w:color w:val="2B2B2E"/>
          <w:sz w:val="21"/>
          <w:szCs w:val="21"/>
        </w:rPr>
        <w:t xml:space="preserve">register students, apply a year-group-based borrowing limit, and view a borrower's current and past loans.</w:t>
      </w:r>
    </w:p>
    <w:p>
      <w:pPr>
        <w:pStyle w:val="ListParagraph"/>
        <w:numPr>
          <w:ilvl w:val="0"/>
          <w:numId w:val="2"/>
        </w:numPr>
        <w:spacing w:after="90" w:line="264"/>
      </w:pPr>
      <w:r>
        <w:rPr>
          <w:rFonts w:ascii="Calibri" w:cs="Calibri" w:eastAsia="Calibri" w:hAnsi="Calibri"/>
          <w:b/>
          <w:bCs/>
          <w:color w:val="2B2B2E"/>
          <w:sz w:val="21"/>
          <w:szCs w:val="21"/>
        </w:rPr>
        <w:t xml:space="preserve">Librarian dashboard — </w:t>
      </w:r>
      <w:r>
        <w:rPr>
          <w:rFonts w:ascii="Calibri" w:cs="Calibri" w:eastAsia="Calibri" w:hAnsi="Calibri"/>
          <w:color w:val="2B2B2E"/>
          <w:sz w:val="21"/>
          <w:szCs w:val="21"/>
        </w:rPr>
        <w:t xml:space="preserve">an overview of current loans, overdue items and the most-borrowed titles.</w:t>
      </w:r>
    </w:p>
    <w:p>
      <w:pPr>
        <w:pStyle w:val="ListParagraph"/>
        <w:numPr>
          <w:ilvl w:val="0"/>
          <w:numId w:val="2"/>
        </w:numPr>
        <w:spacing w:after="90" w:line="264"/>
      </w:pPr>
      <w:r>
        <w:rPr>
          <w:rFonts w:ascii="Calibri" w:cs="Calibri" w:eastAsia="Calibri" w:hAnsi="Calibri"/>
          <w:b/>
          <w:bCs/>
          <w:color w:val="2B2B2E"/>
          <w:sz w:val="21"/>
          <w:szCs w:val="21"/>
        </w:rPr>
        <w:t xml:space="preserve">Fine tracking — </w:t>
      </w:r>
      <w:r>
        <w:rPr>
          <w:rFonts w:ascii="Calibri" w:cs="Calibri" w:eastAsia="Calibri" w:hAnsi="Calibri"/>
          <w:color w:val="2B2B2E"/>
          <w:sz w:val="21"/>
          <w:szCs w:val="21"/>
        </w:rPr>
        <w:t xml:space="preserve">record whether an outstanding fine has been paid.</w:t>
      </w:r>
    </w:p>
    <w:p>
      <w:pPr>
        <w:pStyle w:val="ListParagraph"/>
        <w:numPr>
          <w:ilvl w:val="0"/>
          <w:numId w:val="2"/>
        </w:numPr>
        <w:spacing w:after="90" w:line="264"/>
      </w:pPr>
      <w:r>
        <w:rPr>
          <w:rFonts w:ascii="Calibri" w:cs="Calibri" w:eastAsia="Calibri" w:hAnsi="Calibri"/>
          <w:b/>
          <w:bCs/>
          <w:color w:val="2B2B2E"/>
          <w:sz w:val="21"/>
          <w:szCs w:val="21"/>
        </w:rPr>
        <w:t xml:space="preserve">Overdue report — </w:t>
      </w:r>
      <w:r>
        <w:rPr>
          <w:rFonts w:ascii="Calibri" w:cs="Calibri" w:eastAsia="Calibri" w:hAnsi="Calibri"/>
          <w:color w:val="2B2B2E"/>
          <w:sz w:val="21"/>
          <w:szCs w:val="21"/>
        </w:rPr>
        <w:t xml:space="preserve">list every loan that is overdue as of a given date.</w:t>
      </w:r>
    </w:p>
    <w:p>
      <w:pPr>
        <w:pStyle w:val="ListParagraph"/>
        <w:numPr>
          <w:ilvl w:val="0"/>
          <w:numId w:val="2"/>
        </w:numPr>
        <w:spacing w:after="90" w:line="264"/>
      </w:pPr>
      <w:r>
        <w:rPr>
          <w:rFonts w:ascii="Calibri" w:cs="Calibri" w:eastAsia="Calibri" w:hAnsi="Calibri"/>
          <w:b/>
          <w:bCs/>
          <w:color w:val="2B2B2E"/>
          <w:sz w:val="21"/>
          <w:szCs w:val="21"/>
        </w:rPr>
        <w:t xml:space="preserve">Authentication — </w:t>
      </w:r>
      <w:r>
        <w:rPr>
          <w:rFonts w:ascii="Calibri" w:cs="Calibri" w:eastAsia="Calibri" w:hAnsi="Calibri"/>
          <w:color w:val="2B2B2E"/>
          <w:sz w:val="21"/>
          <w:szCs w:val="21"/>
        </w:rPr>
        <w:t xml:space="preserve">separate access for librarian (staff) actions and student self-service search.</w:t>
      </w:r>
    </w:p>
    <w:p>
      <w:pPr>
        <w:pStyle w:val="ListParagraph"/>
        <w:numPr>
          <w:ilvl w:val="0"/>
          <w:numId w:val="2"/>
        </w:numPr>
        <w:spacing w:after="90" w:line="264"/>
      </w:pPr>
      <w:r>
        <w:rPr>
          <w:rFonts w:ascii="Calibri" w:cs="Calibri" w:eastAsia="Calibri" w:hAnsi="Calibri"/>
          <w:b/>
          <w:bCs/>
          <w:color w:val="2B2B2E"/>
          <w:sz w:val="21"/>
          <w:szCs w:val="21"/>
        </w:rPr>
        <w:t xml:space="preserve">Bulk import (stretch) — </w:t>
      </w:r>
      <w:r>
        <w:rPr>
          <w:rFonts w:ascii="Calibri" w:cs="Calibri" w:eastAsia="Calibri" w:hAnsi="Calibri"/>
          <w:color w:val="2B2B2E"/>
          <w:sz w:val="21"/>
          <w:szCs w:val="21"/>
        </w:rPr>
        <w:t xml:space="preserve">add books to the catalogue in bulk from a CSV file.</w:t>
      </w:r>
    </w:p>
    <w:p>
      <w:pPr>
        <w:spacing w:after="80"/>
      </w:pPr>
    </w:p>
    <w:p>
      <w:pPr>
        <w:pStyle w:val="Heading2"/>
        <w:spacing w:after="120" w:before="260"/>
      </w:pPr>
      <w:r>
        <w:rPr>
          <w:rFonts w:ascii="Calibri" w:cs="Calibri" w:eastAsia="Calibri" w:hAnsi="Calibri"/>
          <w:b/>
          <w:bCs/>
          <w:color w:val="92278F"/>
          <w:sz w:val="24"/>
          <w:szCs w:val="24"/>
        </w:rPr>
        <w:t xml:space="preserve">2.2 Non-functional requirements</w:t>
      </w:r>
    </w:p>
    <w:p>
      <w:pPr>
        <w:pStyle w:val="ListParagraph"/>
        <w:numPr>
          <w:ilvl w:val="0"/>
          <w:numId w:val="2"/>
        </w:numPr>
        <w:spacing w:after="90" w:line="264"/>
      </w:pPr>
      <w:r>
        <w:rPr>
          <w:rFonts w:ascii="Calibri" w:cs="Calibri" w:eastAsia="Calibri" w:hAnsi="Calibri"/>
          <w:b/>
          <w:bCs/>
          <w:color w:val="2B2B2E"/>
          <w:sz w:val="21"/>
          <w:szCs w:val="21"/>
        </w:rPr>
        <w:t xml:space="preserve">Usability — </w:t>
      </w:r>
      <w:r>
        <w:rPr>
          <w:rFonts w:ascii="Calibri" w:cs="Calibri" w:eastAsia="Calibri" w:hAnsi="Calibri"/>
          <w:color w:val="2B2B2E"/>
          <w:sz w:val="21"/>
          <w:szCs w:val="21"/>
        </w:rPr>
        <w:t xml:space="preserve">an untrained student can search the catalogue without help.</w:t>
      </w:r>
    </w:p>
    <w:p>
      <w:pPr>
        <w:pStyle w:val="ListParagraph"/>
        <w:numPr>
          <w:ilvl w:val="0"/>
          <w:numId w:val="2"/>
        </w:numPr>
        <w:spacing w:after="90" w:line="264"/>
      </w:pPr>
      <w:r>
        <w:rPr>
          <w:rFonts w:ascii="Calibri" w:cs="Calibri" w:eastAsia="Calibri" w:hAnsi="Calibri"/>
          <w:b/>
          <w:bCs/>
          <w:color w:val="2B2B2E"/>
          <w:sz w:val="21"/>
          <w:szCs w:val="21"/>
        </w:rPr>
        <w:t xml:space="preserve">Performance — </w:t>
      </w:r>
      <w:r>
        <w:rPr>
          <w:rFonts w:ascii="Calibri" w:cs="Calibri" w:eastAsia="Calibri" w:hAnsi="Calibri"/>
          <w:color w:val="2B2B2E"/>
          <w:sz w:val="21"/>
          <w:szCs w:val="21"/>
        </w:rPr>
        <w:t xml:space="preserve">catalogue search returns results in under 2 seconds for a library of roughly 5,000 titles.</w:t>
      </w:r>
    </w:p>
    <w:p>
      <w:pPr>
        <w:pStyle w:val="ListParagraph"/>
        <w:numPr>
          <w:ilvl w:val="0"/>
          <w:numId w:val="2"/>
        </w:numPr>
        <w:spacing w:after="90" w:line="264"/>
      </w:pPr>
      <w:r>
        <w:rPr>
          <w:rFonts w:ascii="Calibri" w:cs="Calibri" w:eastAsia="Calibri" w:hAnsi="Calibri"/>
          <w:b/>
          <w:bCs/>
          <w:color w:val="2B2B2E"/>
          <w:sz w:val="21"/>
          <w:szCs w:val="21"/>
        </w:rPr>
        <w:t xml:space="preserve">Data validation — </w:t>
      </w:r>
      <w:r>
        <w:rPr>
          <w:rFonts w:ascii="Calibri" w:cs="Calibri" w:eastAsia="Calibri" w:hAnsi="Calibri"/>
          <w:color w:val="2B2B2E"/>
          <w:sz w:val="21"/>
          <w:szCs w:val="21"/>
        </w:rPr>
        <w:t xml:space="preserve">the system must reject invalid input, e.g. a return date before the issue date, or issuing a book with no copies available.</w:t>
      </w:r>
    </w:p>
    <w:p>
      <w:pPr>
        <w:pStyle w:val="ListParagraph"/>
        <w:numPr>
          <w:ilvl w:val="0"/>
          <w:numId w:val="2"/>
        </w:numPr>
        <w:spacing w:after="90" w:line="264"/>
      </w:pPr>
      <w:r>
        <w:rPr>
          <w:rFonts w:ascii="Calibri" w:cs="Calibri" w:eastAsia="Calibri" w:hAnsi="Calibri"/>
          <w:b/>
          <w:bCs/>
          <w:color w:val="2B2B2E"/>
          <w:sz w:val="21"/>
          <w:szCs w:val="21"/>
        </w:rPr>
        <w:t xml:space="preserve">Security &amp; privacy — </w:t>
      </w:r>
      <w:r>
        <w:rPr>
          <w:rFonts w:ascii="Calibri" w:cs="Calibri" w:eastAsia="Calibri" w:hAnsi="Calibri"/>
          <w:color w:val="2B2B2E"/>
          <w:sz w:val="21"/>
          <w:szCs w:val="21"/>
        </w:rPr>
        <w:t xml:space="preserve">student personal data is handled in line with UK GDPR; only authenticated staff can issue, return or edit records.</w:t>
      </w:r>
    </w:p>
    <w:p>
      <w:pPr>
        <w:pStyle w:val="ListParagraph"/>
        <w:numPr>
          <w:ilvl w:val="0"/>
          <w:numId w:val="2"/>
        </w:numPr>
        <w:spacing w:after="90" w:line="264"/>
      </w:pPr>
      <w:r>
        <w:rPr>
          <w:rFonts w:ascii="Calibri" w:cs="Calibri" w:eastAsia="Calibri" w:hAnsi="Calibri"/>
          <w:b/>
          <w:bCs/>
          <w:color w:val="2B2B2E"/>
          <w:sz w:val="21"/>
          <w:szCs w:val="21"/>
        </w:rPr>
        <w:t xml:space="preserve">Accessibility — </w:t>
      </w:r>
      <w:r>
        <w:rPr>
          <w:rFonts w:ascii="Calibri" w:cs="Calibri" w:eastAsia="Calibri" w:hAnsi="Calibri"/>
          <w:color w:val="2B2B2E"/>
          <w:sz w:val="21"/>
          <w:szCs w:val="21"/>
        </w:rPr>
        <w:t xml:space="preserve">the public-facing search interface should meet WCAG 2.1 AA as a minimum.</w:t>
      </w:r>
    </w:p>
    <w:p>
      <w:pPr>
        <w:pStyle w:val="ListParagraph"/>
        <w:numPr>
          <w:ilvl w:val="0"/>
          <w:numId w:val="2"/>
        </w:numPr>
        <w:spacing w:after="90" w:line="264"/>
      </w:pPr>
      <w:r>
        <w:rPr>
          <w:rFonts w:ascii="Calibri" w:cs="Calibri" w:eastAsia="Calibri" w:hAnsi="Calibri"/>
          <w:b/>
          <w:bCs/>
          <w:color w:val="2B2B2E"/>
          <w:sz w:val="21"/>
          <w:szCs w:val="21"/>
        </w:rPr>
        <w:t xml:space="preserve">Reliability — </w:t>
      </w:r>
      <w:r>
        <w:rPr>
          <w:rFonts w:ascii="Calibri" w:cs="Calibri" w:eastAsia="Calibri" w:hAnsi="Calibri"/>
          <w:color w:val="2B2B2E"/>
          <w:sz w:val="21"/>
          <w:szCs w:val="21"/>
        </w:rPr>
        <w:t xml:space="preserve">available throughout the school day, with no data loss if the application restarts unexpectedly.</w:t>
      </w:r>
    </w:p>
    <w:p>
      <w:pPr>
        <w:pStyle w:val="ListParagraph"/>
        <w:numPr>
          <w:ilvl w:val="0"/>
          <w:numId w:val="2"/>
        </w:numPr>
        <w:spacing w:after="90" w:line="264"/>
      </w:pPr>
      <w:r>
        <w:rPr>
          <w:rFonts w:ascii="Calibri" w:cs="Calibri" w:eastAsia="Calibri" w:hAnsi="Calibri"/>
          <w:b/>
          <w:bCs/>
          <w:color w:val="2B2B2E"/>
          <w:sz w:val="21"/>
          <w:szCs w:val="21"/>
        </w:rPr>
        <w:t xml:space="preserve">Maintainability — </w:t>
      </w:r>
      <w:r>
        <w:rPr>
          <w:rFonts w:ascii="Calibri" w:cs="Calibri" w:eastAsia="Calibri" w:hAnsi="Calibri"/>
          <w:color w:val="2B2B2E"/>
          <w:sz w:val="21"/>
          <w:szCs w:val="21"/>
        </w:rPr>
        <w:t xml:space="preserve">a consistent coding standard, and full version control of every change, so future changes can be made safely.</w:t>
      </w:r>
    </w:p>
    <w:p>
      <w:pPr>
        <w:pStyle w:val="Heading1"/>
        <w:pBdr>
          <w:bottom w:val="single" w:color="92278F" w:sz="10" w:space="4"/>
        </w:pBdr>
        <w:spacing w:after="160" w:before="360"/>
      </w:pPr>
      <w:r>
        <w:rPr>
          <w:rFonts w:ascii="Calibri" w:cs="Calibri" w:eastAsia="Calibri" w:hAnsi="Calibri"/>
          <w:b/>
          <w:bCs/>
          <w:color w:val="241B2F"/>
          <w:sz w:val="30"/>
          <w:szCs w:val="30"/>
        </w:rPr>
        <w:t xml:space="preserve">3. Data Model Reference</w:t>
      </w:r>
    </w:p>
    <w:p>
      <w:pPr>
        <w:spacing w:after="160" w:line="276"/>
      </w:pPr>
      <w:r>
        <w:rPr>
          <w:rFonts w:ascii="Calibri" w:cs="Calibri" w:eastAsia="Calibri" w:hAnsi="Calibri"/>
          <w:color w:val="2B2B2E"/>
          <w:sz w:val="21"/>
          <w:szCs w:val="21"/>
        </w:rPr>
        <w:t xml:space="preserve">The entities below are a starting point consistent with the worked design examples covered in Content Area 4 — extend them where your own design requires it (e.g. a Reservation entity), and justify any changes in your design documentation.</w:t>
      </w:r>
    </w:p>
    <w:tbl>
      <w:tblPr>
        <w:tblW w:type="dxa" w:w="10466"/>
        <w:tblBorders>
          <w:top w:val="single" w:color="D9D6E3" w:sz="4"/>
          <w:left w:val="single" w:color="D9D6E3" w:sz="4"/>
          <w:bottom w:val="single" w:color="D9D6E3" w:sz="4"/>
          <w:right w:val="single" w:color="D9D6E3" w:sz="4"/>
          <w:insideH w:val="single" w:color="D9D6E3" w:sz="4"/>
          <w:insideV w:val="single" w:color="D9D6E3" w:sz="4"/>
        </w:tblBorders>
      </w:tblPr>
      <w:tblGrid>
        <w:gridCol w:w="1675"/>
        <w:gridCol w:w="4396"/>
        <w:gridCol w:w="4396"/>
      </w:tblGrid>
      <w:tr>
        <w:trPr>
          <w:tblHeader/>
        </w:trPr>
        <w:tc>
          <w:tcPr>
            <w:tcW w:type="dxa" w:w="1675"/>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Entity</w:t>
            </w:r>
          </w:p>
        </w:tc>
        <w:tc>
          <w:tcPr>
            <w:tcW w:type="dxa" w:w="4396"/>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Key fields</w:t>
            </w:r>
          </w:p>
        </w:tc>
        <w:tc>
          <w:tcPr>
            <w:tcW w:type="dxa" w:w="4396"/>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Notes</w:t>
            </w:r>
          </w:p>
        </w:tc>
      </w:tr>
      <w:tr>
        <w:tc>
          <w:tcPr>
            <w:tcW w:type="dxa" w:w="167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STUDENT</w:t>
            </w:r>
          </w:p>
        </w:tc>
        <w:tc>
          <w:tcPr>
            <w:tcW w:type="dxa" w:w="4396"/>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student_id (PK), name, year_group, email, borrow_limit</w:t>
            </w:r>
          </w:p>
        </w:tc>
        <w:tc>
          <w:tcPr>
            <w:tcW w:type="dxa" w:w="4396"/>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borrow_limit may vary by year_group</w:t>
            </w:r>
          </w:p>
        </w:tc>
      </w:tr>
      <w:tr>
        <w:tc>
          <w:tcPr>
            <w:tcW w:type="dxa" w:w="167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BOOK</w:t>
            </w:r>
          </w:p>
        </w:tc>
        <w:tc>
          <w:tcPr>
            <w:tcW w:type="dxa" w:w="4396"/>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isbn (PK), title, author, genre, copies_total, copies_available</w:t>
            </w:r>
          </w:p>
        </w:tc>
        <w:tc>
          <w:tcPr>
            <w:tcW w:type="dxa" w:w="4396"/>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copies_available decreases on issue, increases on return</w:t>
            </w:r>
          </w:p>
        </w:tc>
      </w:tr>
      <w:tr>
        <w:tc>
          <w:tcPr>
            <w:tcW w:type="dxa" w:w="167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LOAN</w:t>
            </w:r>
          </w:p>
        </w:tc>
        <w:tc>
          <w:tcPr>
            <w:tcW w:type="dxa" w:w="4396"/>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loan_id (PK), student_id (FK), isbn (FK), issue_date, due_date, return_date, fine_amount, fine_paid</w:t>
            </w:r>
          </w:p>
        </w:tc>
        <w:tc>
          <w:tcPr>
            <w:tcW w:type="dxa" w:w="4396"/>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return_date is null while the book is still out</w:t>
            </w:r>
          </w:p>
        </w:tc>
      </w:tr>
      <w:tr>
        <w:tc>
          <w:tcPr>
            <w:tcW w:type="dxa" w:w="167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RESERVATION (stretch)</w:t>
            </w:r>
          </w:p>
        </w:tc>
        <w:tc>
          <w:tcPr>
            <w:tcW w:type="dxa" w:w="4396"/>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reservation_id (PK), student_id (FK), isbn (FK), reserved_date, status</w:t>
            </w:r>
          </w:p>
        </w:tc>
        <w:tc>
          <w:tcPr>
            <w:tcW w:type="dxa" w:w="4396"/>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status e.g. Waiting / Ready / Cancelled</w:t>
            </w:r>
          </w:p>
        </w:tc>
      </w:tr>
    </w:tbl>
    <w:p>
      <w:pPr>
        <w:spacing w:after="180"/>
      </w:pPr>
    </w:p>
    <w:p>
      <w:pPr>
        <w:pStyle w:val="Heading1"/>
        <w:pBdr>
          <w:bottom w:val="single" w:color="92278F" w:sz="10" w:space="4"/>
        </w:pBdr>
        <w:spacing w:after="160" w:before="360"/>
      </w:pPr>
      <w:r>
        <w:rPr>
          <w:rFonts w:ascii="Calibri" w:cs="Calibri" w:eastAsia="Calibri" w:hAnsi="Calibri"/>
          <w:b/>
          <w:bCs/>
          <w:color w:val="241B2F"/>
          <w:sz w:val="30"/>
          <w:szCs w:val="30"/>
        </w:rPr>
        <w:t xml:space="preserve">4. Suggested Technology Stack</w:t>
      </w:r>
    </w:p>
    <w:p>
      <w:pPr>
        <w:spacing w:after="160" w:line="276"/>
      </w:pPr>
      <w:r>
        <w:rPr>
          <w:rFonts w:ascii="Calibri" w:cs="Calibri" w:eastAsia="Calibri" w:hAnsi="Calibri"/>
          <w:color w:val="2B2B2E"/>
          <w:sz w:val="21"/>
          <w:szCs w:val="21"/>
        </w:rPr>
        <w:t xml:space="preserve">CA6 requires the solution to be implemented using at least two languages or technologies. Any of the options below satisfy this — choose based on what you feel most confident building and deploying quickly, since deployment evidence (CA8) is also required.</w:t>
      </w:r>
    </w:p>
    <w:tbl>
      <w:tblPr>
        <w:tblW w:type="dxa" w:w="10466"/>
        <w:tblBorders>
          <w:top w:val="single" w:color="D9D6E3" w:sz="4"/>
          <w:left w:val="single" w:color="D9D6E3" w:sz="4"/>
          <w:bottom w:val="single" w:color="D9D6E3" w:sz="4"/>
          <w:right w:val="single" w:color="D9D6E3" w:sz="4"/>
          <w:insideH w:val="single" w:color="D9D6E3" w:sz="4"/>
          <w:insideV w:val="single" w:color="D9D6E3" w:sz="4"/>
        </w:tblBorders>
      </w:tblPr>
      <w:tblGrid>
        <w:gridCol w:w="1675"/>
        <w:gridCol w:w="2303"/>
        <w:gridCol w:w="1884"/>
        <w:gridCol w:w="2303"/>
        <w:gridCol w:w="2303"/>
      </w:tblGrid>
      <w:tr>
        <w:trPr>
          <w:tblHeader/>
        </w:trPr>
        <w:tc>
          <w:tcPr>
            <w:tcW w:type="dxa" w:w="1675"/>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Option</w:t>
            </w:r>
          </w:p>
        </w:tc>
        <w:tc>
          <w:tcPr>
            <w:tcW w:type="dxa" w:w="2303"/>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Backend / logic</w:t>
            </w:r>
          </w:p>
        </w:tc>
        <w:tc>
          <w:tcPr>
            <w:tcW w:type="dxa" w:w="1884"/>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Data storage</w:t>
            </w:r>
          </w:p>
        </w:tc>
        <w:tc>
          <w:tcPr>
            <w:tcW w:type="dxa" w:w="2303"/>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Frontend</w:t>
            </w:r>
          </w:p>
        </w:tc>
        <w:tc>
          <w:tcPr>
            <w:tcW w:type="dxa" w:w="2303"/>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Notes</w:t>
            </w:r>
          </w:p>
        </w:tc>
      </w:tr>
      <w:tr>
        <w:tc>
          <w:tcPr>
            <w:tcW w:type="dxa" w:w="167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 recommended</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Python (Flask)</w:t>
            </w:r>
          </w:p>
        </w:tc>
        <w:tc>
          <w:tcPr>
            <w:tcW w:type="dxa" w:w="1884"/>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SQLite</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HTML / CSS / JavaScript</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Matches the worked examples used in class; simple to host on a free tier.</w:t>
            </w:r>
          </w:p>
        </w:tc>
      </w:tr>
      <w:tr>
        <w:tc>
          <w:tcPr>
            <w:tcW w:type="dxa" w:w="167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w:t>
            </w:r>
          </w:p>
        </w:tc>
        <w:tc>
          <w:tcPr>
            <w:tcW w:type="dxa" w:w="2303"/>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JavaScript (Node.js / Express)</w:t>
            </w:r>
          </w:p>
        </w:tc>
        <w:tc>
          <w:tcPr>
            <w:tcW w:type="dxa" w:w="1884"/>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SQLite or MongoDB</w:t>
            </w:r>
          </w:p>
        </w:tc>
        <w:tc>
          <w:tcPr>
            <w:tcW w:type="dxa" w:w="2303"/>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HTML / CSS / JavaScript</w:t>
            </w:r>
          </w:p>
        </w:tc>
        <w:tc>
          <w:tcPr>
            <w:tcW w:type="dxa" w:w="2303"/>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SQL (for queries) still counts as a second language even in an all-JS stack.</w:t>
            </w:r>
          </w:p>
        </w:tc>
      </w:tr>
      <w:tr>
        <w:tc>
          <w:tcPr>
            <w:tcW w:type="dxa" w:w="167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Java (Spring Boot)</w:t>
            </w:r>
          </w:p>
        </w:tc>
        <w:tc>
          <w:tcPr>
            <w:tcW w:type="dxa" w:w="1884"/>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MySQL / PostgreSQL</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HTML / CSS / JS (Thymeleaf)</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More structure — suits a strongly OOP design approach.</w:t>
            </w:r>
          </w:p>
        </w:tc>
      </w:tr>
    </w:tbl>
    <w:p>
      <w:pPr>
        <w:spacing w:after="180"/>
      </w:pPr>
    </w:p>
    <w:p>
      <w:pPr>
        <w:pStyle w:val="Heading1"/>
        <w:pBdr>
          <w:bottom w:val="single" w:color="92278F" w:sz="10" w:space="4"/>
        </w:pBdr>
        <w:spacing w:after="160" w:before="360"/>
      </w:pPr>
      <w:r>
        <w:rPr>
          <w:rFonts w:ascii="Calibri" w:cs="Calibri" w:eastAsia="Calibri" w:hAnsi="Calibri"/>
          <w:b/>
          <w:bCs/>
          <w:color w:val="241B2F"/>
          <w:sz w:val="30"/>
          <w:szCs w:val="30"/>
        </w:rPr>
        <w:t xml:space="preserve">5. GitHub Workflow Requirements</w:t>
      </w:r>
    </w:p>
    <w:p>
      <w:pPr>
        <w:spacing w:after="160" w:line="276"/>
      </w:pPr>
      <w:r>
        <w:rPr>
          <w:rFonts w:ascii="Calibri" w:cs="Calibri" w:eastAsia="Calibri" w:hAnsi="Calibri"/>
          <w:color w:val="2B2B2E"/>
          <w:sz w:val="21"/>
          <w:szCs w:val="21"/>
        </w:rPr>
        <w:t xml:space="preserve">This project must be built and evidenced entirely through GitHub, covering the same six stages introduced in Content Area 4.2. Work that exists only as local files with no commit history, branches or pull requests will not meet the Content Area 5 evidence requirement, regardless of how complete the application itself is.</w:t>
      </w:r>
    </w:p>
    <w:tbl>
      <w:tblPr>
        <w:tblW w:type="dxa" w:w="10466"/>
        <w:tblBorders>
          <w:top w:val="single" w:color="D9D6E3" w:sz="4"/>
          <w:left w:val="single" w:color="D9D6E3" w:sz="4"/>
          <w:bottom w:val="single" w:color="D9D6E3" w:sz="4"/>
          <w:right w:val="single" w:color="D9D6E3" w:sz="4"/>
          <w:insideH w:val="single" w:color="D9D6E3" w:sz="4"/>
          <w:insideV w:val="single" w:color="D9D6E3" w:sz="4"/>
        </w:tblBorders>
      </w:tblPr>
      <w:tblGrid>
        <w:gridCol w:w="1675"/>
        <w:gridCol w:w="4605"/>
        <w:gridCol w:w="4186"/>
      </w:tblGrid>
      <w:tr>
        <w:trPr>
          <w:tblHeader/>
        </w:trPr>
        <w:tc>
          <w:tcPr>
            <w:tcW w:type="dxa" w:w="1675"/>
            <w:shd w:fill="EC008C"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Stage</w:t>
            </w:r>
          </w:p>
        </w:tc>
        <w:tc>
          <w:tcPr>
            <w:tcW w:type="dxa" w:w="4605"/>
            <w:shd w:fill="EC008C"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Requirement</w:t>
            </w:r>
          </w:p>
        </w:tc>
        <w:tc>
          <w:tcPr>
            <w:tcW w:type="dxa" w:w="4186"/>
            <w:shd w:fill="EC008C"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Evidence to capture</w:t>
            </w:r>
          </w:p>
        </w:tc>
      </w:tr>
      <w:tr>
        <w:tc>
          <w:tcPr>
            <w:tcW w:type="dxa" w:w="167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Coding</w:t>
            </w:r>
          </w:p>
        </w:tc>
        <w:tc>
          <w:tcPr>
            <w:tcW w:type="dxa" w:w="460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Commit little and often, with clear messages describing what changed and why.</w:t>
            </w:r>
          </w:p>
        </w:tc>
        <w:tc>
          <w:tcPr>
            <w:tcW w:type="dxa" w:w="4186"/>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Commit history showing a minimum of 15 meaningful commits across the project.</w:t>
            </w:r>
          </w:p>
        </w:tc>
      </w:tr>
      <w:tr>
        <w:tc>
          <w:tcPr>
            <w:tcW w:type="dxa" w:w="167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Repositories</w:t>
            </w:r>
          </w:p>
        </w:tc>
        <w:tc>
          <w:tcPr>
            <w:tcW w:type="dxa" w:w="460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One repository per learner (or per team); include a README describing the project and setup steps, and a .gitignore.</w:t>
            </w:r>
          </w:p>
        </w:tc>
        <w:tc>
          <w:tcPr>
            <w:tcW w:type="dxa" w:w="4186"/>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Repository link; README.md content.</w:t>
            </w:r>
          </w:p>
        </w:tc>
      </w:tr>
      <w:tr>
        <w:tc>
          <w:tcPr>
            <w:tcW w:type="dxa" w:w="167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Branching</w:t>
            </w:r>
          </w:p>
        </w:tc>
        <w:tc>
          <w:tcPr>
            <w:tcW w:type="dxa" w:w="460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new branch for every feature or fix (e.g. feature/search, fix/fine-calculation); no direct commits to main after the initial scaffold.</w:t>
            </w:r>
          </w:p>
        </w:tc>
        <w:tc>
          <w:tcPr>
            <w:tcW w:type="dxa" w:w="4186"/>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Branch list / network graph; at least 4 feature branches merged via pull request.</w:t>
            </w:r>
          </w:p>
        </w:tc>
      </w:tr>
      <w:tr>
        <w:tc>
          <w:tcPr>
            <w:tcW w:type="dxa" w:w="167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Building</w:t>
            </w:r>
          </w:p>
        </w:tc>
        <w:tc>
          <w:tcPr>
            <w:tcW w:type="dxa" w:w="460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GitHub Actions workflow (.github/workflows/ci.yml) that installs dependencies and builds the project automatically on every push.</w:t>
            </w:r>
          </w:p>
        </w:tc>
        <w:tc>
          <w:tcPr>
            <w:tcW w:type="dxa" w:w="4186"/>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Screenshot of a passing Actions run; the workflow YAML file.</w:t>
            </w:r>
          </w:p>
        </w:tc>
      </w:tr>
      <w:tr>
        <w:tc>
          <w:tcPr>
            <w:tcW w:type="dxa" w:w="167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Testing</w:t>
            </w:r>
          </w:p>
        </w:tc>
        <w:tc>
          <w:tcPr>
            <w:tcW w:type="dxa" w:w="4605"/>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Automated tests run as part of the CI workflow; a pull request should not be merged while checks are failing.</w:t>
            </w:r>
          </w:p>
        </w:tc>
        <w:tc>
          <w:tcPr>
            <w:tcW w:type="dxa" w:w="4186"/>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Screenshot of passing checks on a pull request; a test results / coverage summary.</w:t>
            </w:r>
          </w:p>
        </w:tc>
      </w:tr>
      <w:tr>
        <w:tc>
          <w:tcPr>
            <w:tcW w:type="dxa" w:w="167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Deployment</w:t>
            </w:r>
          </w:p>
        </w:tc>
        <w:tc>
          <w:tcPr>
            <w:tcW w:type="dxa" w:w="4605"/>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Deploy the working solution at least twice: an initial release, and again after the post-release change in Section 8.</w:t>
            </w:r>
          </w:p>
        </w:tc>
        <w:tc>
          <w:tcPr>
            <w:tcW w:type="dxa" w:w="4186"/>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Deployment URL; a deployment log entry with date, commit SHA and outcome.</w:t>
            </w:r>
          </w:p>
        </w:tc>
      </w:tr>
    </w:tbl>
    <w:p>
      <w:pPr>
        <w:spacing w:after="180"/>
      </w:pPr>
    </w:p>
    <w:p>
      <w:pPr>
        <w:pStyle w:val="Heading1"/>
        <w:pBdr>
          <w:bottom w:val="single" w:color="92278F" w:sz="10" w:space="4"/>
        </w:pBdr>
        <w:spacing w:after="160" w:before="360"/>
      </w:pPr>
      <w:r>
        <w:rPr>
          <w:rFonts w:ascii="Calibri" w:cs="Calibri" w:eastAsia="Calibri" w:hAnsi="Calibri"/>
          <w:b/>
          <w:bCs/>
          <w:color w:val="241B2F"/>
          <w:sz w:val="30"/>
          <w:szCs w:val="30"/>
        </w:rPr>
        <w:t xml:space="preserve">6. Evidence Mapped to the 8 OSP Content Areas</w:t>
      </w:r>
    </w:p>
    <w:p>
      <w:pPr>
        <w:spacing w:after="160" w:line="276"/>
      </w:pPr>
      <w:r>
        <w:rPr>
          <w:rFonts w:ascii="Calibri" w:cs="Calibri" w:eastAsia="Calibri" w:hAnsi="Calibri"/>
          <w:color w:val="2B2B2E"/>
          <w:sz w:val="21"/>
          <w:szCs w:val="21"/>
        </w:rPr>
        <w:t xml:space="preserve">Use this table as a submission checklist. Every row should be traceable to something in your repository, portfolio or a short written reflection.</w:t>
      </w:r>
    </w:p>
    <w:tbl>
      <w:tblPr>
        <w:tblW w:type="dxa" w:w="10466"/>
        <w:tblBorders>
          <w:top w:val="single" w:color="D9D6E3" w:sz="4"/>
          <w:left w:val="single" w:color="D9D6E3" w:sz="4"/>
          <w:bottom w:val="single" w:color="D9D6E3" w:sz="4"/>
          <w:right w:val="single" w:color="D9D6E3" w:sz="4"/>
          <w:insideH w:val="single" w:color="D9D6E3" w:sz="4"/>
          <w:insideV w:val="single" w:color="D9D6E3" w:sz="4"/>
        </w:tblBorders>
      </w:tblPr>
      <w:tblGrid>
        <w:gridCol w:w="837"/>
        <w:gridCol w:w="2721"/>
        <w:gridCol w:w="6908"/>
      </w:tblGrid>
      <w:tr>
        <w:trPr>
          <w:tblHeader/>
        </w:trPr>
        <w:tc>
          <w:tcPr>
            <w:tcW w:type="dxa" w:w="837"/>
            <w:shd w:fill="92278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CA</w:t>
            </w:r>
          </w:p>
        </w:tc>
        <w:tc>
          <w:tcPr>
            <w:tcW w:type="dxa" w:w="2721"/>
            <w:shd w:fill="92278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Focus</w:t>
            </w:r>
          </w:p>
        </w:tc>
        <w:tc>
          <w:tcPr>
            <w:tcW w:type="dxa" w:w="6908"/>
            <w:shd w:fill="92278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What to produce</w:t>
            </w:r>
          </w:p>
        </w:tc>
      </w:tr>
      <w:tr>
        <w:tc>
          <w:tcPr>
            <w:tcW w:type="dxa" w:w="83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1</w:t>
            </w:r>
          </w:p>
        </w:tc>
        <w:tc>
          <w:tcPr>
            <w:tcW w:type="dxa" w:w="2721"/>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Analyse a problem</w:t>
            </w:r>
          </w:p>
        </w:tc>
        <w:tc>
          <w:tcPr>
            <w:tcW w:type="dxa" w:w="6908"/>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Requirements specification (Section 2) with acceptance criteria for each requirement, and a record of assumptions made about the open brief.</w:t>
            </w:r>
          </w:p>
        </w:tc>
      </w:tr>
      <w:tr>
        <w:tc>
          <w:tcPr>
            <w:tcW w:type="dxa" w:w="83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2</w:t>
            </w:r>
          </w:p>
        </w:tc>
        <w:tc>
          <w:tcPr>
            <w:tcW w:type="dxa" w:w="2721"/>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Ethics &amp; risk</w:t>
            </w:r>
          </w:p>
        </w:tc>
        <w:tc>
          <w:tcPr>
            <w:tcW w:type="dxa" w:w="6908"/>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short data-protection / risk note covering student data handling, plus any accessibility or inclusivity decisions made.</w:t>
            </w:r>
          </w:p>
        </w:tc>
      </w:tr>
      <w:tr>
        <w:tc>
          <w:tcPr>
            <w:tcW w:type="dxa" w:w="83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3</w:t>
            </w:r>
          </w:p>
        </w:tc>
        <w:tc>
          <w:tcPr>
            <w:tcW w:type="dxa" w:w="2721"/>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Reliable sources</w:t>
            </w:r>
          </w:p>
        </w:tc>
        <w:tc>
          <w:tcPr>
            <w:tcW w:type="dxa" w:w="6908"/>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reference list of documentation, standards or examples consulted during design and build, with a one-line note on why each was judged reliable.</w:t>
            </w:r>
          </w:p>
        </w:tc>
      </w:tr>
      <w:tr>
        <w:tc>
          <w:tcPr>
            <w:tcW w:type="dxa" w:w="83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4</w:t>
            </w:r>
          </w:p>
        </w:tc>
        <w:tc>
          <w:tcPr>
            <w:tcW w:type="dxa" w:w="2721"/>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Design</w:t>
            </w:r>
          </w:p>
        </w:tc>
        <w:tc>
          <w:tcPr>
            <w:tcW w:type="dxa" w:w="6908"/>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justified design approach (e.g. OOP or function-oriented), an ERD, and wireframes or mock-ups of the key screens; a justified platform choice.</w:t>
            </w:r>
          </w:p>
        </w:tc>
      </w:tr>
      <w:tr>
        <w:tc>
          <w:tcPr>
            <w:tcW w:type="dxa" w:w="83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5</w:t>
            </w:r>
          </w:p>
        </w:tc>
        <w:tc>
          <w:tcPr>
            <w:tcW w:type="dxa" w:w="2721"/>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Collaborative environment</w:t>
            </w:r>
          </w:p>
        </w:tc>
        <w:tc>
          <w:tcPr>
            <w:tcW w:type="dxa" w:w="6908"/>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Full GitHub evidence per Section 5: repository, branches, pull requests each with at least one review comment.</w:t>
            </w:r>
          </w:p>
        </w:tc>
      </w:tr>
      <w:tr>
        <w:tc>
          <w:tcPr>
            <w:tcW w:type="dxa" w:w="83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6</w:t>
            </w:r>
          </w:p>
        </w:tc>
        <w:tc>
          <w:tcPr>
            <w:tcW w:type="dxa" w:w="2721"/>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Implementation</w:t>
            </w:r>
          </w:p>
        </w:tc>
        <w:tc>
          <w:tcPr>
            <w:tcW w:type="dxa" w:w="6908"/>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working solution built in at least two languages/technologies (Section 4), following a consistent coding standard.</w:t>
            </w:r>
          </w:p>
        </w:tc>
      </w:tr>
      <w:tr>
        <w:tc>
          <w:tcPr>
            <w:tcW w:type="dxa" w:w="83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7</w:t>
            </w:r>
          </w:p>
        </w:tc>
        <w:tc>
          <w:tcPr>
            <w:tcW w:type="dxa" w:w="2721"/>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Testing</w:t>
            </w:r>
          </w:p>
        </w:tc>
        <w:tc>
          <w:tcPr>
            <w:tcW w:type="dxa" w:w="6908"/>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test plan covering key functions, a log of tests run with results, and evidence of at least one bug found, fixed and re-tested.</w:t>
            </w:r>
          </w:p>
        </w:tc>
      </w:tr>
      <w:tr>
        <w:tc>
          <w:tcPr>
            <w:tcW w:type="dxa" w:w="83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8</w:t>
            </w:r>
          </w:p>
        </w:tc>
        <w:tc>
          <w:tcPr>
            <w:tcW w:type="dxa" w:w="2721"/>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Change, maintain &amp; support</w:t>
            </w:r>
          </w:p>
        </w:tc>
        <w:tc>
          <w:tcPr>
            <w:tcW w:type="dxa" w:w="6908"/>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Deployment record, a one-page user guide for librarians, and the post-release change evidence described in Section 8.</w:t>
            </w:r>
          </w:p>
        </w:tc>
      </w:tr>
    </w:tbl>
    <w:p>
      <w:pPr>
        <w:spacing w:after="180"/>
      </w:pPr>
    </w:p>
    <w:p>
      <w:pPr>
        <w:pStyle w:val="Heading1"/>
        <w:pBdr>
          <w:bottom w:val="single" w:color="92278F" w:sz="10" w:space="4"/>
        </w:pBdr>
        <w:spacing w:after="160" w:before="360"/>
      </w:pPr>
      <w:r>
        <w:rPr>
          <w:rFonts w:ascii="Calibri" w:cs="Calibri" w:eastAsia="Calibri" w:hAnsi="Calibri"/>
          <w:b/>
          <w:bCs/>
          <w:color w:val="241B2F"/>
          <w:sz w:val="30"/>
          <w:szCs w:val="30"/>
        </w:rPr>
        <w:t xml:space="preserve">7. Suggested Timeline (7 weeks)</w:t>
      </w:r>
    </w:p>
    <w:tbl>
      <w:tblPr>
        <w:tblW w:type="dxa" w:w="10466"/>
        <w:tblBorders>
          <w:top w:val="single" w:color="D9D6E3" w:sz="4"/>
          <w:left w:val="single" w:color="D9D6E3" w:sz="4"/>
          <w:bottom w:val="single" w:color="D9D6E3" w:sz="4"/>
          <w:right w:val="single" w:color="D9D6E3" w:sz="4"/>
          <w:insideH w:val="single" w:color="D9D6E3" w:sz="4"/>
          <w:insideV w:val="single" w:color="D9D6E3" w:sz="4"/>
        </w:tblBorders>
      </w:tblPr>
      <w:tblGrid>
        <w:gridCol w:w="1047"/>
        <w:gridCol w:w="3977"/>
        <w:gridCol w:w="3558"/>
        <w:gridCol w:w="1884"/>
      </w:tblGrid>
      <w:tr>
        <w:trPr>
          <w:tblHeader/>
        </w:trPr>
        <w:tc>
          <w:tcPr>
            <w:tcW w:type="dxa" w:w="1047"/>
            <w:shd w:fill="FDB913"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Week</w:t>
            </w:r>
          </w:p>
        </w:tc>
        <w:tc>
          <w:tcPr>
            <w:tcW w:type="dxa" w:w="3977"/>
            <w:shd w:fill="FDB913"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Focus</w:t>
            </w:r>
          </w:p>
        </w:tc>
        <w:tc>
          <w:tcPr>
            <w:tcW w:type="dxa" w:w="3558"/>
            <w:shd w:fill="FDB913"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Key GitHub activity</w:t>
            </w:r>
          </w:p>
        </w:tc>
        <w:tc>
          <w:tcPr>
            <w:tcW w:type="dxa" w:w="1884"/>
            <w:shd w:fill="FDB913"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OSP reference</w:t>
            </w:r>
          </w:p>
        </w:tc>
      </w:tr>
      <w:tr>
        <w:tc>
          <w:tcPr>
            <w:tcW w:type="dxa" w:w="104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1</w:t>
            </w:r>
          </w:p>
        </w:tc>
        <w:tc>
          <w:tcPr>
            <w:tcW w:type="dxa" w:w="397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Analyse &amp; research requirements and acceptance criteria; research similar systems.</w:t>
            </w:r>
          </w:p>
        </w:tc>
        <w:tc>
          <w:tcPr>
            <w:tcW w:type="dxa" w:w="3558"/>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Create the repository, add README &amp; .gitignore, first scaffold commit.</w:t>
            </w:r>
          </w:p>
        </w:tc>
        <w:tc>
          <w:tcPr>
            <w:tcW w:type="dxa" w:w="1884"/>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CA1, CA3</w:t>
            </w:r>
          </w:p>
        </w:tc>
      </w:tr>
      <w:tr>
        <w:tc>
          <w:tcPr>
            <w:tcW w:type="dxa" w:w="104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2</w:t>
            </w:r>
          </w:p>
        </w:tc>
        <w:tc>
          <w:tcPr>
            <w:tcW w:type="dxa" w:w="397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Design: ERD, chosen design approach, wireframes, justified platform choice.</w:t>
            </w:r>
          </w:p>
        </w:tc>
        <w:tc>
          <w:tcPr>
            <w:tcW w:type="dxa" w:w="3558"/>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Set up an issues list / project board for planned features.</w:t>
            </w:r>
          </w:p>
        </w:tc>
        <w:tc>
          <w:tcPr>
            <w:tcW w:type="dxa" w:w="1884"/>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CA4</w:t>
            </w:r>
          </w:p>
        </w:tc>
      </w:tr>
      <w:tr>
        <w:tc>
          <w:tcPr>
            <w:tcW w:type="dxa" w:w="104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3–4</w:t>
            </w:r>
          </w:p>
        </w:tc>
        <w:tc>
          <w:tcPr>
            <w:tcW w:type="dxa" w:w="397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Build core features: catalogue search, issue, return.</w:t>
            </w:r>
          </w:p>
        </w:tc>
        <w:tc>
          <w:tcPr>
            <w:tcW w:type="dxa" w:w="3558"/>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One branch per feature; pull requests with review comments; add the CI build workflow.</w:t>
            </w:r>
          </w:p>
        </w:tc>
        <w:tc>
          <w:tcPr>
            <w:tcW w:type="dxa" w:w="1884"/>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CA5, CA6</w:t>
            </w:r>
          </w:p>
        </w:tc>
      </w:tr>
      <w:tr>
        <w:tc>
          <w:tcPr>
            <w:tcW w:type="dxa" w:w="104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5</w:t>
            </w:r>
          </w:p>
        </w:tc>
        <w:tc>
          <w:tcPr>
            <w:tcW w:type="dxa" w:w="397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Build remaining features; begin writing unit tests.</w:t>
            </w:r>
          </w:p>
        </w:tc>
        <w:tc>
          <w:tcPr>
            <w:tcW w:type="dxa" w:w="3558"/>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Extend CI to run tests automatically on every push.</w:t>
            </w:r>
          </w:p>
        </w:tc>
        <w:tc>
          <w:tcPr>
            <w:tcW w:type="dxa" w:w="1884"/>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CA6, CA7</w:t>
            </w:r>
          </w:p>
        </w:tc>
      </w:tr>
      <w:tr>
        <w:tc>
          <w:tcPr>
            <w:tcW w:type="dxa" w:w="104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6</w:t>
            </w:r>
          </w:p>
        </w:tc>
        <w:tc>
          <w:tcPr>
            <w:tcW w:type="dxa" w:w="3977"/>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Execute the test plan; log and fix bugs found.</w:t>
            </w:r>
          </w:p>
        </w:tc>
        <w:tc>
          <w:tcPr>
            <w:tcW w:type="dxa" w:w="3558"/>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Bug-fix branches and pull requests; no merge while checks are failing.</w:t>
            </w:r>
          </w:p>
        </w:tc>
        <w:tc>
          <w:tcPr>
            <w:tcW w:type="dxa" w:w="1884"/>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CA7</w:t>
            </w:r>
          </w:p>
        </w:tc>
      </w:tr>
      <w:tr>
        <w:tc>
          <w:tcPr>
            <w:tcW w:type="dxa" w:w="104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7</w:t>
            </w:r>
          </w:p>
        </w:tc>
        <w:tc>
          <w:tcPr>
            <w:tcW w:type="dxa" w:w="3977"/>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Deploy; write the user guide; handle one change request.</w:t>
            </w:r>
          </w:p>
        </w:tc>
        <w:tc>
          <w:tcPr>
            <w:tcW w:type="dxa" w:w="3558"/>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First deployment, then a second after the change request is applied.</w:t>
            </w:r>
          </w:p>
        </w:tc>
        <w:tc>
          <w:tcPr>
            <w:tcW w:type="dxa" w:w="1884"/>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CA8, CA2</w:t>
            </w:r>
          </w:p>
        </w:tc>
      </w:tr>
    </w:tbl>
    <w:p>
      <w:pPr>
        <w:spacing w:after="180"/>
      </w:pPr>
    </w:p>
    <w:p>
      <w:pPr>
        <w:pStyle w:val="Heading1"/>
        <w:pBdr>
          <w:bottom w:val="single" w:color="92278F" w:sz="10" w:space="4"/>
        </w:pBdr>
        <w:spacing w:after="160" w:before="360"/>
      </w:pPr>
      <w:r>
        <w:rPr>
          <w:rFonts w:ascii="Calibri" w:cs="Calibri" w:eastAsia="Calibri" w:hAnsi="Calibri"/>
          <w:b/>
          <w:bCs/>
          <w:color w:val="241B2F"/>
          <w:sz w:val="30"/>
          <w:szCs w:val="30"/>
        </w:rPr>
        <w:t xml:space="preserve">8. Post-Release Change (Content Area 8 evidence)</w:t>
      </w:r>
    </w:p>
    <w:p>
      <w:pPr>
        <w:spacing w:after="160" w:line="276"/>
      </w:pPr>
      <w:r>
        <w:rPr>
          <w:rFonts w:ascii="Calibri" w:cs="Calibri" w:eastAsia="Calibri" w:hAnsi="Calibri"/>
          <w:color w:val="2B2B2E"/>
          <w:sz w:val="21"/>
          <w:szCs w:val="21"/>
        </w:rPr>
        <w:t xml:space="preserve">Once your system is deployed, simulate real-world maintenance. The client has sent this follow-up request:</w:t>
      </w:r>
    </w:p>
    <w:p>
      <w:pPr>
        <w:pBdr>
          <w:left w:val="single" w:color="00AEEF" w:sz="18" w:space="8"/>
        </w:pBdr>
        <w:spacing w:after="260"/>
        <w:ind w:left="400"/>
      </w:pPr>
      <w:r>
        <w:rPr>
          <w:rFonts w:ascii="Calibri" w:cs="Calibri" w:eastAsia="Calibri" w:hAnsi="Calibri"/>
          <w:i/>
          <w:iCs/>
          <w:color w:val="2B2B2E"/>
          <w:sz w:val="21"/>
          <w:szCs w:val="21"/>
        </w:rPr>
        <w:t xml:space="preserve">"A few students said the system let them borrow a book that had zero copies left — can you fix that? Also, could overdue fines cap at £5 per book, rather than climbing forever?"</w:t>
      </w:r>
    </w:p>
    <w:p>
      <w:pPr>
        <w:spacing w:after="160" w:line="276"/>
      </w:pPr>
      <w:r>
        <w:rPr>
          <w:rFonts w:ascii="Calibri" w:cs="Calibri" w:eastAsia="Calibri" w:hAnsi="Calibri"/>
          <w:color w:val="2B2B2E"/>
          <w:sz w:val="21"/>
          <w:szCs w:val="21"/>
        </w:rPr>
        <w:t xml:space="preserve">Log this as an issue in GitHub, fix it on its own branch, open a pull request, merge once checks pass, and redeploy. Keep a brief before/after note (a short changelog entry is enough) — this is your evidence for supporting and maintaining software after release.</w:t>
      </w:r>
    </w:p>
    <w:p>
      <w:pPr>
        <w:pStyle w:val="Heading1"/>
        <w:pBdr>
          <w:bottom w:val="single" w:color="92278F" w:sz="10" w:space="4"/>
        </w:pBdr>
        <w:spacing w:after="160" w:before="360"/>
      </w:pPr>
      <w:r>
        <w:rPr>
          <w:rFonts w:ascii="Calibri" w:cs="Calibri" w:eastAsia="Calibri" w:hAnsi="Calibri"/>
          <w:b/>
          <w:bCs/>
          <w:color w:val="241B2F"/>
          <w:sz w:val="30"/>
          <w:szCs w:val="30"/>
        </w:rPr>
        <w:t xml:space="preserve">9. Sample User Stories &amp; Acceptance Criteria</w:t>
      </w:r>
    </w:p>
    <w:p>
      <w:pPr>
        <w:spacing w:after="160" w:line="276"/>
      </w:pPr>
      <w:r>
        <w:rPr>
          <w:rFonts w:ascii="Calibri" w:cs="Calibri" w:eastAsia="Calibri" w:hAnsi="Calibri"/>
          <w:color w:val="2B2B2E"/>
          <w:sz w:val="21"/>
          <w:szCs w:val="21"/>
        </w:rPr>
        <w:t xml:space="preserve">Written in the Given / When / Then style covered under Behaviour-Driven Development in Content Area 4.1 — write the rest of your own acceptance criteria in the same style.</w:t>
      </w:r>
    </w:p>
    <w:tbl>
      <w:tblPr>
        <w:tblW w:type="dxa" w:w="10466"/>
        <w:tblBorders>
          <w:top w:val="single" w:color="D9D6E3" w:sz="4"/>
          <w:left w:val="single" w:color="D9D6E3" w:sz="4"/>
          <w:bottom w:val="single" w:color="D9D6E3" w:sz="4"/>
          <w:right w:val="single" w:color="D9D6E3" w:sz="4"/>
          <w:insideH w:val="single" w:color="D9D6E3" w:sz="4"/>
          <w:insideV w:val="single" w:color="D9D6E3" w:sz="4"/>
        </w:tblBorders>
      </w:tblPr>
      <w:tblGrid>
        <w:gridCol w:w="3140"/>
        <w:gridCol w:w="2303"/>
        <w:gridCol w:w="2303"/>
        <w:gridCol w:w="2721"/>
      </w:tblGrid>
      <w:tr>
        <w:trPr>
          <w:tblHeader/>
        </w:trPr>
        <w:tc>
          <w:tcPr>
            <w:tcW w:type="dxa" w:w="3140"/>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User story</w:t>
            </w:r>
          </w:p>
        </w:tc>
        <w:tc>
          <w:tcPr>
            <w:tcW w:type="dxa" w:w="2303"/>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Given</w:t>
            </w:r>
          </w:p>
        </w:tc>
        <w:tc>
          <w:tcPr>
            <w:tcW w:type="dxa" w:w="2303"/>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When</w:t>
            </w:r>
          </w:p>
        </w:tc>
        <w:tc>
          <w:tcPr>
            <w:tcW w:type="dxa" w:w="2721"/>
            <w:shd w:fill="00AEEF" w:val="clear"/>
            <w:tcMar>
              <w:top w:type="dxa" w:w="90"/>
              <w:left w:type="dxa" w:w="110"/>
              <w:bottom w:type="dxa" w:w="90"/>
              <w:right w:type="dxa" w:w="110"/>
            </w:tcMar>
            <w:vAlign w:val="center"/>
          </w:tcPr>
          <w:p>
            <w:pPr>
              <w:spacing w:line="250"/>
            </w:pPr>
            <w:r>
              <w:rPr>
                <w:rFonts w:ascii="Calibri" w:cs="Calibri" w:eastAsia="Calibri" w:hAnsi="Calibri"/>
                <w:b/>
                <w:bCs/>
                <w:color w:val="FFFFFF"/>
                <w:sz w:val="19"/>
                <w:szCs w:val="19"/>
              </w:rPr>
              <w:t xml:space="preserve">Then</w:t>
            </w:r>
          </w:p>
        </w:tc>
      </w:tr>
      <w:tr>
        <w:tc>
          <w:tcPr>
            <w:tcW w:type="dxa" w:w="3140"/>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As a student, I want to search the catalogue by title or author, so I can find out if a book is available.</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the catalogue contains "Animal Farm" by George Orwell</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student searches for "Orwell"</w:t>
            </w:r>
          </w:p>
        </w:tc>
        <w:tc>
          <w:tcPr>
            <w:tcW w:type="dxa" w:w="2721"/>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"Animal Farm" appears in the results with its current availability shown</w:t>
            </w:r>
          </w:p>
        </w:tc>
      </w:tr>
      <w:tr>
        <w:tc>
          <w:tcPr>
            <w:tcW w:type="dxa" w:w="3140"/>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As a librarian, I want to issue a book to a student, so the loan is recorded and a due date is set automatically.</w:t>
            </w:r>
          </w:p>
        </w:tc>
        <w:tc>
          <w:tcPr>
            <w:tcW w:type="dxa" w:w="2303"/>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copy of "Animal Farm" is available</w:t>
            </w:r>
          </w:p>
        </w:tc>
        <w:tc>
          <w:tcPr>
            <w:tcW w:type="dxa" w:w="2303"/>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the librarian issues it to student S1023</w:t>
            </w:r>
          </w:p>
        </w:tc>
        <w:tc>
          <w:tcPr>
            <w:tcW w:type="dxa" w:w="2721"/>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loan record is created with today's date and a due date 14 days later, and the available copy count decreases by one</w:t>
            </w:r>
          </w:p>
        </w:tc>
      </w:tr>
      <w:tr>
        <w:tc>
          <w:tcPr>
            <w:tcW w:type="dxa" w:w="3140"/>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As a librarian, I want the system to calculate a fine on a late return, so overdue charges are applied consistently.</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loan was due on 1 June and is returned on 8 June</w:t>
            </w:r>
          </w:p>
        </w:tc>
        <w:tc>
          <w:tcPr>
            <w:tcW w:type="dxa" w:w="2303"/>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the librarian records the return</w:t>
            </w:r>
          </w:p>
        </w:tc>
        <w:tc>
          <w:tcPr>
            <w:tcW w:type="dxa" w:w="2721"/>
            <w:shd w:fill="F5F4F7" w:val="clear"/>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 fine is calculated for 7 overdue days at the standard daily rate and stored against the loan</w:t>
            </w:r>
          </w:p>
        </w:tc>
      </w:tr>
      <w:tr>
        <w:tc>
          <w:tcPr>
            <w:tcW w:type="dxa" w:w="3140"/>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As a librarian, I want to see a list of overdue books, so I can follow up with borrowers.</w:t>
            </w:r>
          </w:p>
        </w:tc>
        <w:tc>
          <w:tcPr>
            <w:tcW w:type="dxa" w:w="2303"/>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today is 10 June and several loans are overdue with no return date</w:t>
            </w:r>
          </w:p>
        </w:tc>
        <w:tc>
          <w:tcPr>
            <w:tcW w:type="dxa" w:w="2303"/>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the librarian opens the overdue report</w:t>
            </w:r>
          </w:p>
        </w:tc>
        <w:tc>
          <w:tcPr>
            <w:tcW w:type="dxa" w:w="2721"/>
            <w:tcMar>
              <w:top w:type="dxa" w:w="90"/>
              <w:left w:type="dxa" w:w="110"/>
              <w:bottom w:type="dxa" w:w="90"/>
              <w:right w:type="dxa" w:w="110"/>
            </w:tcMar>
            <w:vAlign w:val="center"/>
          </w:tcPr>
          <w:p>
            <w:pPr>
              <w:spacing w:line="250"/>
            </w:pPr>
            <w:r>
              <w:rPr>
                <w:rFonts w:ascii="Calibri" w:cs="Calibri" w:eastAsia="Calibri" w:hAnsi="Calibri"/>
                <w:color w:val="2B2B2E"/>
                <w:sz w:val="19"/>
                <w:szCs w:val="19"/>
              </w:rPr>
              <w:t xml:space="preserve">every overdue loan is listed with borrower name, book title and days overdue</w:t>
            </w:r>
          </w:p>
        </w:tc>
      </w:tr>
    </w:tbl>
    <w:p>
      <w:pPr>
        <w:spacing w:after="180"/>
      </w:pPr>
    </w:p>
    <w:p>
      <w:pPr>
        <w:pStyle w:val="Heading1"/>
        <w:pBdr>
          <w:bottom w:val="single" w:color="92278F" w:sz="10" w:space="4"/>
        </w:pBdr>
        <w:spacing w:after="160" w:before="360"/>
      </w:pPr>
      <w:r>
        <w:rPr>
          <w:rFonts w:ascii="Calibri" w:cs="Calibri" w:eastAsia="Calibri" w:hAnsi="Calibri"/>
          <w:b/>
          <w:bCs/>
          <w:color w:val="241B2F"/>
          <w:sz w:val="30"/>
          <w:szCs w:val="30"/>
        </w:rPr>
        <w:t xml:space="preserve">10. Notes for Teachers</w:t>
      </w:r>
    </w:p>
    <w:p>
      <w:pPr>
        <w:pStyle w:val="ListParagraph"/>
        <w:numPr>
          <w:ilvl w:val="0"/>
          <w:numId w:val="2"/>
        </w:numPr>
        <w:spacing w:after="90" w:line="264"/>
      </w:pPr>
      <w:r>
        <w:rPr>
          <w:rFonts w:ascii="Calibri" w:cs="Calibri" w:eastAsia="Calibri" w:hAnsi="Calibri"/>
          <w:color w:val="2B2B2E"/>
          <w:sz w:val="21"/>
          <w:szCs w:val="21"/>
        </w:rPr>
        <w:t xml:space="preserve">Suitable for individual or paired work. If paired, each learner must commit under their own GitHub account so individual contribution can be evidenced separately for CA5 and CA6.</w:t>
      </w:r>
    </w:p>
    <w:p>
      <w:pPr>
        <w:pStyle w:val="ListParagraph"/>
        <w:numPr>
          <w:ilvl w:val="0"/>
          <w:numId w:val="2"/>
        </w:numPr>
        <w:spacing w:after="90" w:line="264"/>
      </w:pPr>
      <w:r>
        <w:rPr>
          <w:rFonts w:ascii="Calibri" w:cs="Calibri" w:eastAsia="Calibri" w:hAnsi="Calibri"/>
          <w:color w:val="2B2B2E"/>
          <w:sz w:val="21"/>
          <w:szCs w:val="21"/>
        </w:rPr>
        <w:t xml:space="preserve">Scope can be trimmed for a shorter timebox by dropping reservations, renewals and the overdue report, or extended for stronger learners with due-date notifications or borrowing analytics.</w:t>
      </w:r>
    </w:p>
    <w:p>
      <w:pPr>
        <w:pStyle w:val="ListParagraph"/>
        <w:numPr>
          <w:ilvl w:val="0"/>
          <w:numId w:val="2"/>
        </w:numPr>
        <w:spacing w:after="90" w:line="264"/>
      </w:pPr>
      <w:r>
        <w:rPr>
          <w:rFonts w:ascii="Calibri" w:cs="Calibri" w:eastAsia="Calibri" w:hAnsi="Calibri"/>
          <w:color w:val="2B2B2E"/>
          <w:sz w:val="21"/>
          <w:szCs w:val="21"/>
        </w:rPr>
        <w:t xml:space="preserve">This is a practice project for building and evidencing OSP skills — it is not a substitute for the official employer-set project issued by the awarding organisation.</w:t>
      </w:r>
    </w:p>
    <w:p>
      <w:pPr>
        <w:pStyle w:val="ListParagraph"/>
        <w:numPr>
          <w:ilvl w:val="0"/>
          <w:numId w:val="2"/>
        </w:numPr>
        <w:spacing w:after="90" w:line="264"/>
      </w:pPr>
      <w:r>
        <w:rPr>
          <w:rFonts w:ascii="Calibri" w:cs="Calibri" w:eastAsia="Calibri" w:hAnsi="Calibri"/>
          <w:color w:val="2B2B2E"/>
          <w:sz w:val="21"/>
          <w:szCs w:val="21"/>
        </w:rPr>
        <w:t xml:space="preserve">Where possible, walk through the GitHub in Practice slides from the Content Area 4 deck alongside this brief — the sample repository used there (library-app) follows the same domain as this project.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92278F"/>
        <w:sz w:val="16"/>
        <w:szCs w:val="16"/>
      </w:r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Assessment Practice Project Brief — Online Library Loan System</dc:title>
  <dc:creator>T Level Digital — Software Developer Occupational Specialism</dc:creator>
  <cp:lastModifiedBy>Un-named</cp:lastModifiedBy>
  <cp:revision>1</cp:revision>
  <dcterms:created xsi:type="dcterms:W3CDTF">2026-08-18T09:51:54.260Z</dcterms:created>
  <dcterms:modified xsi:type="dcterms:W3CDTF">2026-08-18T09:51:54.260Z</dcterms:modified>
</cp:coreProperties>
</file>

<file path=docProps/custom.xml><?xml version="1.0" encoding="utf-8"?>
<Properties xmlns="http://schemas.openxmlformats.org/officeDocument/2006/custom-properties" xmlns:vt="http://schemas.openxmlformats.org/officeDocument/2006/docPropsVTypes"/>
</file>