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83D1" w14:textId="77777777" w:rsidR="000B6ECA" w:rsidRPr="003807AB" w:rsidRDefault="000B6ECA" w:rsidP="000B6ECA">
      <w:pPr>
        <w:jc w:val="center"/>
        <w:rPr>
          <w:rFonts w:ascii="Optima LT Std" w:eastAsia="汉鼎简中楷" w:hAnsi="Optima LT Std"/>
          <w:sz w:val="32"/>
          <w:szCs w:val="32"/>
          <w:lang w:val="en-AU"/>
        </w:rPr>
      </w:pPr>
      <w:bookmarkStart w:id="0" w:name="_Hlk493855708"/>
      <w:r w:rsidRPr="003807AB">
        <w:rPr>
          <w:rFonts w:ascii="Optima LT Std" w:eastAsia="汉鼎简中楷" w:hAnsi="Optima LT Std"/>
          <w:sz w:val="32"/>
          <w:szCs w:val="32"/>
          <w:lang w:val="en-AU"/>
        </w:rPr>
        <w:t>THE UNIVERSITY OF NEW SOUTH WALES</w:t>
      </w:r>
    </w:p>
    <w:p w14:paraId="26CFAC4A" w14:textId="77777777" w:rsidR="000B6ECA" w:rsidRPr="003807AB" w:rsidRDefault="000B6ECA" w:rsidP="000B6ECA">
      <w:pPr>
        <w:jc w:val="center"/>
        <w:rPr>
          <w:rFonts w:ascii="Optima LT Std" w:eastAsia="汉鼎简中楷" w:hAnsi="Optima LT Std"/>
          <w:sz w:val="32"/>
          <w:szCs w:val="32"/>
          <w:lang w:val="en-AU"/>
        </w:rPr>
      </w:pPr>
      <w:r w:rsidRPr="003807AB">
        <w:rPr>
          <w:rFonts w:ascii="Optima LT Std" w:eastAsia="汉鼎简中楷" w:hAnsi="Optima LT Std"/>
          <w:sz w:val="32"/>
          <w:szCs w:val="32"/>
          <w:lang w:val="en-AU"/>
        </w:rPr>
        <w:t>School of Economics</w:t>
      </w:r>
    </w:p>
    <w:p w14:paraId="081151AD" w14:textId="77777777" w:rsidR="000B6ECA" w:rsidRDefault="000B6ECA" w:rsidP="00DF7B50">
      <w:pPr>
        <w:jc w:val="center"/>
        <w:rPr>
          <w:rFonts w:ascii="Cambria" w:eastAsia="SimSun" w:hAnsi="Cambria"/>
          <w:b/>
          <w:bCs/>
          <w:sz w:val="36"/>
          <w:szCs w:val="28"/>
        </w:rPr>
      </w:pPr>
    </w:p>
    <w:p w14:paraId="1B771591" w14:textId="525BEC23" w:rsidR="00DF7B50" w:rsidRPr="00105175" w:rsidRDefault="00DF7B50" w:rsidP="00DF7B50">
      <w:pPr>
        <w:jc w:val="center"/>
        <w:rPr>
          <w:sz w:val="36"/>
          <w:szCs w:val="36"/>
        </w:rPr>
      </w:pPr>
      <w:r w:rsidRPr="00105175">
        <w:rPr>
          <w:rFonts w:ascii="Cambria" w:eastAsia="SimSun" w:hAnsi="Cambria"/>
          <w:bCs/>
          <w:sz w:val="36"/>
          <w:szCs w:val="28"/>
        </w:rPr>
        <w:t>ECON</w:t>
      </w:r>
      <w:r w:rsidR="00162726">
        <w:rPr>
          <w:rFonts w:ascii="Cambria" w:eastAsia="SimSun" w:hAnsi="Cambria"/>
          <w:bCs/>
          <w:sz w:val="36"/>
          <w:szCs w:val="28"/>
        </w:rPr>
        <w:t>3</w:t>
      </w:r>
      <w:r w:rsidR="00110EBB" w:rsidRPr="00105175">
        <w:rPr>
          <w:rFonts w:ascii="Cambria" w:eastAsia="SimSun" w:hAnsi="Cambria"/>
          <w:bCs/>
          <w:sz w:val="36"/>
          <w:szCs w:val="28"/>
        </w:rPr>
        <w:t>20</w:t>
      </w:r>
      <w:r w:rsidR="00162726">
        <w:rPr>
          <w:rFonts w:ascii="Cambria" w:eastAsia="SimSun" w:hAnsi="Cambria"/>
          <w:bCs/>
          <w:sz w:val="36"/>
          <w:szCs w:val="28"/>
        </w:rPr>
        <w:t>8</w:t>
      </w:r>
      <w:r w:rsidR="00651268">
        <w:rPr>
          <w:rFonts w:ascii="Cambria" w:eastAsia="SimSun" w:hAnsi="Cambria"/>
          <w:bCs/>
          <w:sz w:val="36"/>
          <w:szCs w:val="28"/>
        </w:rPr>
        <w:t>/5408</w:t>
      </w:r>
      <w:r w:rsidRPr="00105175">
        <w:rPr>
          <w:rFonts w:ascii="Cambria" w:eastAsia="SimSun" w:hAnsi="Cambria"/>
          <w:bCs/>
          <w:sz w:val="36"/>
          <w:szCs w:val="28"/>
        </w:rPr>
        <w:t xml:space="preserve">, </w:t>
      </w:r>
      <w:r w:rsidR="00162726">
        <w:rPr>
          <w:rFonts w:ascii="Cambria" w:eastAsia="SimSun" w:hAnsi="Cambria"/>
          <w:bCs/>
          <w:sz w:val="36"/>
          <w:szCs w:val="28"/>
        </w:rPr>
        <w:t>Applied Econometric Methods</w:t>
      </w:r>
      <w:r w:rsidR="000E2ED0">
        <w:rPr>
          <w:rFonts w:ascii="Cambria" w:eastAsia="SimSun" w:hAnsi="Cambria"/>
          <w:bCs/>
          <w:sz w:val="36"/>
          <w:szCs w:val="28"/>
        </w:rPr>
        <w:t>, 20</w:t>
      </w:r>
      <w:r w:rsidR="0065226C">
        <w:rPr>
          <w:rFonts w:ascii="Cambria" w:eastAsia="SimSun" w:hAnsi="Cambria"/>
          <w:bCs/>
          <w:sz w:val="36"/>
          <w:szCs w:val="28"/>
        </w:rPr>
        <w:t>20</w:t>
      </w:r>
      <w:r w:rsidRPr="00105175">
        <w:rPr>
          <w:rFonts w:ascii="Cambria" w:eastAsia="SimSun" w:hAnsi="Cambria"/>
          <w:bCs/>
          <w:sz w:val="36"/>
          <w:szCs w:val="28"/>
        </w:rPr>
        <w:t xml:space="preserve"> </w:t>
      </w:r>
      <w:r w:rsidR="00BB7CE4">
        <w:rPr>
          <w:rFonts w:ascii="Cambria" w:eastAsia="SimSun" w:hAnsi="Cambria"/>
          <w:bCs/>
          <w:sz w:val="36"/>
          <w:szCs w:val="28"/>
        </w:rPr>
        <w:t>T</w:t>
      </w:r>
      <w:r w:rsidR="00651268">
        <w:rPr>
          <w:rFonts w:ascii="Cambria" w:eastAsia="SimSun" w:hAnsi="Cambria"/>
          <w:bCs/>
          <w:sz w:val="36"/>
          <w:szCs w:val="28"/>
        </w:rPr>
        <w:t>3</w:t>
      </w:r>
    </w:p>
    <w:bookmarkEnd w:id="0"/>
    <w:p w14:paraId="42832C99" w14:textId="77777777" w:rsidR="00927471" w:rsidRPr="00BD1CBD" w:rsidRDefault="00927471" w:rsidP="00DF7B50">
      <w:pPr>
        <w:jc w:val="center"/>
        <w:rPr>
          <w:b/>
          <w:sz w:val="36"/>
          <w:szCs w:val="36"/>
        </w:rPr>
      </w:pPr>
    </w:p>
    <w:p w14:paraId="3D52CA04" w14:textId="3E623D4F" w:rsidR="00DF7B50" w:rsidRPr="00105175" w:rsidRDefault="00162726" w:rsidP="00110EBB">
      <w:pPr>
        <w:pStyle w:val="Heading1"/>
        <w:rPr>
          <w:b/>
          <w:sz w:val="36"/>
          <w:szCs w:val="36"/>
        </w:rPr>
      </w:pPr>
      <w:r>
        <w:rPr>
          <w:b/>
          <w:sz w:val="36"/>
          <w:szCs w:val="36"/>
        </w:rPr>
        <w:t xml:space="preserve">Project </w:t>
      </w:r>
      <w:r w:rsidR="004F00D6">
        <w:rPr>
          <w:b/>
          <w:sz w:val="36"/>
          <w:szCs w:val="36"/>
        </w:rPr>
        <w:t xml:space="preserve">Report </w:t>
      </w:r>
      <w:r w:rsidR="00DF7B50" w:rsidRPr="00105175">
        <w:rPr>
          <w:b/>
          <w:sz w:val="36"/>
          <w:szCs w:val="36"/>
        </w:rPr>
        <w:t>Cover Sheet</w:t>
      </w:r>
    </w:p>
    <w:p w14:paraId="2C1CCC87" w14:textId="77777777" w:rsidR="00110EBB" w:rsidRPr="0065226C" w:rsidRDefault="00110EBB" w:rsidP="009471A7">
      <w:pPr>
        <w:rPr>
          <w:lang w:val="en-AU"/>
        </w:rPr>
      </w:pPr>
    </w:p>
    <w:p w14:paraId="0D0D2FD6" w14:textId="59D6D86A" w:rsidR="00DF7B50" w:rsidRDefault="00DF7B50" w:rsidP="004F00D6">
      <w:pPr>
        <w:autoSpaceDE w:val="0"/>
        <w:autoSpaceDN w:val="0"/>
        <w:adjustRightInd w:val="0"/>
        <w:contextualSpacing/>
        <w:rPr>
          <w:rFonts w:ascii="CMR12" w:eastAsia="Calibri" w:hAnsi="CMR12" w:cs="CMR12"/>
        </w:rPr>
      </w:pPr>
      <w:r w:rsidRPr="00110EBB">
        <w:rPr>
          <w:rFonts w:ascii="CMR12" w:eastAsia="Calibri" w:hAnsi="CMR12" w:cs="CMR12"/>
        </w:rPr>
        <w:t xml:space="preserve"> </w:t>
      </w:r>
    </w:p>
    <w:p w14:paraId="4DF0CB41" w14:textId="77777777" w:rsidR="005D3B98" w:rsidRDefault="005D3B98" w:rsidP="005D3B98">
      <w:pPr>
        <w:autoSpaceDE w:val="0"/>
        <w:autoSpaceDN w:val="0"/>
        <w:adjustRightInd w:val="0"/>
        <w:contextualSpacing/>
        <w:rPr>
          <w:rFonts w:ascii="CMR12" w:eastAsia="Calibri" w:hAnsi="CMR12" w:cs="CMR12"/>
        </w:rPr>
      </w:pPr>
    </w:p>
    <w:p w14:paraId="29B26464" w14:textId="77777777" w:rsidR="005D3B98" w:rsidRDefault="005D3B98" w:rsidP="005D3B98">
      <w:pPr>
        <w:autoSpaceDE w:val="0"/>
        <w:autoSpaceDN w:val="0"/>
        <w:adjustRightInd w:val="0"/>
        <w:contextualSpacing/>
        <w:rPr>
          <w:rFonts w:ascii="CMR12" w:eastAsia="Calibri" w:hAnsi="CMR12" w:cs="CMR12"/>
        </w:rPr>
      </w:pPr>
    </w:p>
    <w:p w14:paraId="3BC219C2" w14:textId="77777777" w:rsidR="005D3B98" w:rsidRDefault="005D3B98" w:rsidP="005D3B98">
      <w:pPr>
        <w:autoSpaceDE w:val="0"/>
        <w:autoSpaceDN w:val="0"/>
        <w:adjustRightInd w:val="0"/>
        <w:contextualSpacing/>
        <w:rPr>
          <w:rFonts w:ascii="CMR12" w:eastAsia="Calibri" w:hAnsi="CMR12" w:cs="CMR12"/>
        </w:rPr>
      </w:pPr>
    </w:p>
    <w:p w14:paraId="2063019E" w14:textId="77777777" w:rsidR="009471A7" w:rsidRDefault="009471A7" w:rsidP="005D3B98">
      <w:pPr>
        <w:autoSpaceDE w:val="0"/>
        <w:autoSpaceDN w:val="0"/>
        <w:adjustRightInd w:val="0"/>
        <w:contextualSpacing/>
        <w:rPr>
          <w:rFonts w:ascii="CMR12" w:eastAsia="Calibri" w:hAnsi="CMR12" w:cs="CMR12"/>
        </w:rPr>
      </w:pPr>
    </w:p>
    <w:p w14:paraId="1141D195" w14:textId="77777777" w:rsidR="005D3B98" w:rsidRDefault="005D3B98" w:rsidP="005D3B98">
      <w:pPr>
        <w:autoSpaceDE w:val="0"/>
        <w:autoSpaceDN w:val="0"/>
        <w:adjustRightInd w:val="0"/>
        <w:contextualSpacing/>
        <w:rPr>
          <w:rFonts w:ascii="CMR12" w:eastAsia="Calibri" w:hAnsi="CMR12" w:cs="CMR12"/>
        </w:rPr>
      </w:pPr>
    </w:p>
    <w:p w14:paraId="25120A09" w14:textId="77777777" w:rsidR="00110EBB" w:rsidRPr="00110EBB" w:rsidRDefault="00110EBB" w:rsidP="00110EBB">
      <w:pPr>
        <w:autoSpaceDE w:val="0"/>
        <w:autoSpaceDN w:val="0"/>
        <w:adjustRightInd w:val="0"/>
        <w:ind w:left="720"/>
        <w:contextualSpacing/>
        <w:rPr>
          <w:rFonts w:ascii="CMR12" w:eastAsia="Calibri" w:hAnsi="CMR12" w:cs="CMR12"/>
        </w:rPr>
      </w:pPr>
    </w:p>
    <w:p w14:paraId="6BD3564D" w14:textId="77777777" w:rsidR="00DF7B50" w:rsidRPr="00961B43" w:rsidRDefault="00DF7B50" w:rsidP="00DF7B50">
      <w:pPr>
        <w:autoSpaceDE w:val="0"/>
        <w:autoSpaceDN w:val="0"/>
        <w:adjustRightInd w:val="0"/>
        <w:rPr>
          <w:rFonts w:ascii="CMBX12" w:eastAsia="Calibri" w:hAnsi="CMBX12" w:cs="CMBX12"/>
          <w:sz w:val="29"/>
          <w:szCs w:val="29"/>
        </w:rPr>
      </w:pPr>
    </w:p>
    <w:tbl>
      <w:tblPr>
        <w:tblStyle w:val="TableGrid1"/>
        <w:tblW w:w="0" w:type="auto"/>
        <w:jc w:val="center"/>
        <w:tblLook w:val="04A0" w:firstRow="1" w:lastRow="0" w:firstColumn="1" w:lastColumn="0" w:noHBand="0" w:noVBand="1"/>
      </w:tblPr>
      <w:tblGrid>
        <w:gridCol w:w="4516"/>
        <w:gridCol w:w="2208"/>
        <w:gridCol w:w="1903"/>
      </w:tblGrid>
      <w:tr w:rsidR="0065226C" w:rsidRPr="00961B43" w14:paraId="57945B7D" w14:textId="234790FA" w:rsidTr="00490BA1">
        <w:trPr>
          <w:jc w:val="center"/>
        </w:trPr>
        <w:tc>
          <w:tcPr>
            <w:tcW w:w="4516" w:type="dxa"/>
          </w:tcPr>
          <w:p w14:paraId="6DF7F9EC" w14:textId="77777777" w:rsidR="0065226C" w:rsidRPr="00961B43" w:rsidRDefault="0065226C" w:rsidP="00C03B96">
            <w:pPr>
              <w:autoSpaceDE w:val="0"/>
              <w:autoSpaceDN w:val="0"/>
              <w:adjustRightInd w:val="0"/>
              <w:rPr>
                <w:rFonts w:ascii="CMR12" w:hAnsi="CMR12" w:cs="CMR12"/>
                <w:sz w:val="29"/>
                <w:szCs w:val="29"/>
              </w:rPr>
            </w:pPr>
            <w:r>
              <w:rPr>
                <w:rFonts w:ascii="CMR12" w:hAnsi="CMR12" w:cs="CMR12"/>
                <w:sz w:val="29"/>
                <w:szCs w:val="29"/>
              </w:rPr>
              <w:t xml:space="preserve">Full </w:t>
            </w:r>
            <w:r w:rsidRPr="00961B43">
              <w:rPr>
                <w:rFonts w:ascii="CMR12" w:hAnsi="CMR12" w:cs="CMR12"/>
                <w:sz w:val="29"/>
                <w:szCs w:val="29"/>
              </w:rPr>
              <w:t>Name</w:t>
            </w:r>
          </w:p>
        </w:tc>
        <w:tc>
          <w:tcPr>
            <w:tcW w:w="2208" w:type="dxa"/>
          </w:tcPr>
          <w:p w14:paraId="5D3BBB7C" w14:textId="2112EED6" w:rsidR="0065226C" w:rsidRPr="00961B43" w:rsidRDefault="0065226C" w:rsidP="0065226C">
            <w:pPr>
              <w:autoSpaceDE w:val="0"/>
              <w:autoSpaceDN w:val="0"/>
              <w:adjustRightInd w:val="0"/>
              <w:rPr>
                <w:rFonts w:ascii="CMR12" w:hAnsi="CMR12" w:cs="CMR12"/>
                <w:sz w:val="29"/>
                <w:szCs w:val="29"/>
              </w:rPr>
            </w:pPr>
            <w:r w:rsidRPr="00961B43">
              <w:rPr>
                <w:rFonts w:ascii="CMR12" w:hAnsi="CMR12" w:cs="CMR12"/>
                <w:sz w:val="29"/>
                <w:szCs w:val="29"/>
              </w:rPr>
              <w:t>Student N</w:t>
            </w:r>
            <w:r>
              <w:rPr>
                <w:rFonts w:ascii="CMR12" w:hAnsi="CMR12" w:cs="CMR12"/>
                <w:sz w:val="29"/>
                <w:szCs w:val="29"/>
              </w:rPr>
              <w:t>umber</w:t>
            </w:r>
          </w:p>
        </w:tc>
        <w:tc>
          <w:tcPr>
            <w:tcW w:w="1903" w:type="dxa"/>
          </w:tcPr>
          <w:p w14:paraId="0B917FC5" w14:textId="04F6DDE4" w:rsidR="0065226C" w:rsidRPr="00961B43" w:rsidRDefault="0065226C" w:rsidP="00C03B96">
            <w:pPr>
              <w:autoSpaceDE w:val="0"/>
              <w:autoSpaceDN w:val="0"/>
              <w:adjustRightInd w:val="0"/>
              <w:rPr>
                <w:rFonts w:ascii="CMR12" w:hAnsi="CMR12" w:cs="CMR12"/>
                <w:sz w:val="29"/>
                <w:szCs w:val="29"/>
              </w:rPr>
            </w:pPr>
            <w:r>
              <w:rPr>
                <w:rFonts w:ascii="CMR12" w:hAnsi="CMR12" w:cs="CMR12"/>
                <w:sz w:val="29"/>
                <w:szCs w:val="29"/>
              </w:rPr>
              <w:t>Class Number</w:t>
            </w:r>
          </w:p>
        </w:tc>
      </w:tr>
      <w:tr w:rsidR="0065226C" w:rsidRPr="00961B43" w14:paraId="74033E15" w14:textId="67DF5DD7" w:rsidTr="00490BA1">
        <w:trPr>
          <w:trHeight w:val="567"/>
          <w:jc w:val="center"/>
        </w:trPr>
        <w:tc>
          <w:tcPr>
            <w:tcW w:w="4516" w:type="dxa"/>
            <w:vAlign w:val="center"/>
          </w:tcPr>
          <w:p w14:paraId="55329E9A" w14:textId="1D5E3750" w:rsidR="0065226C" w:rsidRPr="00961B43" w:rsidRDefault="00253F53" w:rsidP="00490BA1">
            <w:pPr>
              <w:tabs>
                <w:tab w:val="left" w:pos="2145"/>
              </w:tabs>
              <w:autoSpaceDE w:val="0"/>
              <w:autoSpaceDN w:val="0"/>
              <w:adjustRightInd w:val="0"/>
              <w:rPr>
                <w:rFonts w:ascii="CMR12" w:hAnsi="CMR12" w:cs="CMR12"/>
                <w:sz w:val="29"/>
                <w:szCs w:val="29"/>
              </w:rPr>
            </w:pPr>
            <w:r>
              <w:rPr>
                <w:rFonts w:ascii="CMR12" w:hAnsi="CMR12" w:cs="CMR12"/>
                <w:sz w:val="29"/>
                <w:szCs w:val="29"/>
              </w:rPr>
              <w:t>George Bai</w:t>
            </w:r>
          </w:p>
        </w:tc>
        <w:tc>
          <w:tcPr>
            <w:tcW w:w="2208" w:type="dxa"/>
            <w:vAlign w:val="center"/>
          </w:tcPr>
          <w:p w14:paraId="11FB62A0" w14:textId="7840F7CA" w:rsidR="0065226C" w:rsidRPr="00961B43" w:rsidRDefault="00253F53" w:rsidP="00490BA1">
            <w:pPr>
              <w:tabs>
                <w:tab w:val="left" w:pos="2145"/>
              </w:tabs>
              <w:autoSpaceDE w:val="0"/>
              <w:autoSpaceDN w:val="0"/>
              <w:adjustRightInd w:val="0"/>
              <w:rPr>
                <w:rFonts w:ascii="CMR12" w:hAnsi="CMR12" w:cs="CMR12"/>
                <w:sz w:val="29"/>
                <w:szCs w:val="29"/>
              </w:rPr>
            </w:pPr>
            <w:r>
              <w:rPr>
                <w:rFonts w:ascii="CMR12" w:hAnsi="CMR12" w:cs="CMR12"/>
                <w:sz w:val="29"/>
                <w:szCs w:val="29"/>
              </w:rPr>
              <w:t>Z5254903</w:t>
            </w:r>
          </w:p>
        </w:tc>
        <w:tc>
          <w:tcPr>
            <w:tcW w:w="1903" w:type="dxa"/>
            <w:vAlign w:val="center"/>
          </w:tcPr>
          <w:p w14:paraId="7F1FE090" w14:textId="5ADF2834" w:rsidR="0065226C" w:rsidRPr="00961B43" w:rsidRDefault="00253F53" w:rsidP="00490BA1">
            <w:pPr>
              <w:tabs>
                <w:tab w:val="left" w:pos="2145"/>
              </w:tabs>
              <w:autoSpaceDE w:val="0"/>
              <w:autoSpaceDN w:val="0"/>
              <w:adjustRightInd w:val="0"/>
              <w:rPr>
                <w:rFonts w:ascii="CMR12" w:hAnsi="CMR12" w:cs="CMR12"/>
                <w:sz w:val="29"/>
                <w:szCs w:val="29"/>
              </w:rPr>
            </w:pPr>
            <w:r>
              <w:rPr>
                <w:rFonts w:ascii="CMR12" w:hAnsi="CMR12" w:cs="CMR12"/>
                <w:sz w:val="29"/>
                <w:szCs w:val="29"/>
              </w:rPr>
              <w:t>7369</w:t>
            </w:r>
          </w:p>
        </w:tc>
      </w:tr>
    </w:tbl>
    <w:p w14:paraId="63033D1A" w14:textId="77777777" w:rsidR="00DF7B50" w:rsidRPr="00961B43" w:rsidRDefault="00DF7B50" w:rsidP="00DF7B50">
      <w:pPr>
        <w:autoSpaceDE w:val="0"/>
        <w:autoSpaceDN w:val="0"/>
        <w:adjustRightInd w:val="0"/>
        <w:rPr>
          <w:rFonts w:ascii="CMBX12" w:eastAsia="Calibri" w:hAnsi="CMBX12" w:cs="CMBX12"/>
          <w:sz w:val="29"/>
          <w:szCs w:val="29"/>
        </w:rPr>
      </w:pPr>
    </w:p>
    <w:p w14:paraId="0E4BEC42" w14:textId="77777777" w:rsidR="00DF7B50" w:rsidRDefault="00DF7B50">
      <w:pPr>
        <w:rPr>
          <w:lang w:val="en-AU"/>
        </w:rPr>
      </w:pPr>
      <w:r>
        <w:rPr>
          <w:lang w:val="en-AU"/>
        </w:rPr>
        <w:br w:type="page"/>
      </w:r>
    </w:p>
    <w:p w14:paraId="6CDC2D79" w14:textId="35C0C6AC" w:rsidR="00DA0F70" w:rsidRDefault="001E1AEE" w:rsidP="001E1AEE">
      <w:pPr>
        <w:pStyle w:val="Heading2"/>
      </w:pPr>
      <w:r>
        <w:lastRenderedPageBreak/>
        <w:t>1 Introduction</w:t>
      </w:r>
    </w:p>
    <w:p w14:paraId="7CA464B8" w14:textId="77777777" w:rsidR="00253F53" w:rsidRDefault="00253F53" w:rsidP="00253F53"/>
    <w:p w14:paraId="443F18A3" w14:textId="763F7CD1" w:rsidR="00253F53" w:rsidRDefault="00253F53" w:rsidP="00253F53">
      <w:r>
        <w:t>As of the current day, excessive alcohol consumption still remains a significant public health problem within modern society, adding excess risk to consumers and whom they interact with. The US Department of Health and Human Services has estimated that by 1998, alcohol related mortality accounted for over 100000 deaths that year. Moreover, higher levels of alcohol consumption have been linked to social consequences such as greater domestic and criminal violence as it is believed to impair cognitive function and increase aggressiveness (US Department of Health and Human Services, 1993).</w:t>
      </w:r>
    </w:p>
    <w:p w14:paraId="43A0F4DD" w14:textId="77777777" w:rsidR="00253F53" w:rsidRDefault="00253F53" w:rsidP="00253F53"/>
    <w:p w14:paraId="10DE9F59" w14:textId="77777777" w:rsidR="00253F53" w:rsidRDefault="00253F53" w:rsidP="00253F53">
      <w:r>
        <w:t>Here, we assess physician advice as a potential cost-effective mechanism in curbing excessive alcohol consumption and in doing so these health and social consequences. The literature indicates that within controlled environments, physician advice has demonstrated strong signs of effectiveness, and so should be studied further within real world environments.</w:t>
      </w:r>
    </w:p>
    <w:p w14:paraId="4793E3BC" w14:textId="77777777" w:rsidR="00253F53" w:rsidRDefault="00253F53" w:rsidP="00253F53"/>
    <w:p w14:paraId="0F948B4D" w14:textId="77777777" w:rsidR="00253F53" w:rsidRDefault="00253F53" w:rsidP="00253F53">
      <w:r>
        <w:t xml:space="preserve">As an example, a multinational trial was conducted by the World Health Organization (WHO) Brief Intervention Study Group (1996) and found that male patients subject to the physician advice drank approximately one standard drink less per day, representing approximately 17% less average daily alcohol consumption compared to those in the control group whom received no special treatment. Moreover, </w:t>
      </w:r>
      <w:r w:rsidRPr="00356786">
        <w:t>Fleming et al. (1997)</w:t>
      </w:r>
      <w:r>
        <w:t xml:space="preserve"> found that twelve months after a physician advice intervention, problem drinkers that received physician advice had on average 4 less drinks within the last seven days compared to those with control-group interventions.</w:t>
      </w:r>
    </w:p>
    <w:p w14:paraId="50B0C0F2" w14:textId="77777777" w:rsidR="00253F53" w:rsidRDefault="00253F53" w:rsidP="00253F53"/>
    <w:p w14:paraId="27E6D1B1" w14:textId="77777777" w:rsidR="00253F53" w:rsidRDefault="00253F53" w:rsidP="00253F53">
      <w:r>
        <w:t>What we find is that the analysis requires dealing with major econometric issues. Here, we note that the dependent variable “drinks” must be non-negative and that there is a relatively large probability mass for no drinks within the last two weeks (21%). We also note that there may be potential endogeneity surrounding physician advice as the data does not capture health conscientiousness, [peer pressure] and other such factors affecting the probability of receiving advice and levels of alcohol consumption.</w:t>
      </w:r>
    </w:p>
    <w:p w14:paraId="5D073B9B" w14:textId="77777777" w:rsidR="00253F53" w:rsidRDefault="00253F53" w:rsidP="00253F53"/>
    <w:p w14:paraId="79868E02" w14:textId="09899257" w:rsidR="00253F53" w:rsidRDefault="00253F53" w:rsidP="00253F53">
      <w:r>
        <w:t>As such, we model alcohol consumption using a tobit model so as to accommodate the non-negative nature of the dependent variable as well as the large probability mass at zero drinks. The model produces non-negative fitted values which prove easier to interpret compared to an OLS model.</w:t>
      </w:r>
      <w:r w:rsidR="00EB2C14">
        <w:t xml:space="preserve"> It also helps provide a non-linear interpretation around the zero value.</w:t>
      </w:r>
      <w:r>
        <w:t xml:space="preserve"> We also deal with endogeneity through a control function method for the tobit models, as well as instrumental variables in the 2SLS model.</w:t>
      </w:r>
    </w:p>
    <w:p w14:paraId="3A02E7BA" w14:textId="77777777" w:rsidR="00253F53" w:rsidRDefault="00253F53" w:rsidP="00253F53"/>
    <w:p w14:paraId="4D693E12" w14:textId="08FC712E" w:rsidR="00F06938" w:rsidRDefault="00253F53" w:rsidP="00F06938">
      <w:r>
        <w:t xml:space="preserve">We find that under the tobit model where the regression coefficients are estimated with the control function method, the presence of physician advice will have an average partial effect of </w:t>
      </w:r>
      <w:r w:rsidR="008019A6">
        <w:t>increasing drinks by 12.59 compared to people who have not received such an intervention, holding all other factors fixed. However, this is a rather counterintuitive result, suggesting that the model has trouble correcting for endogeneity.</w:t>
      </w:r>
    </w:p>
    <w:p w14:paraId="578EB8BE" w14:textId="1952325C" w:rsidR="00EB2C14" w:rsidRDefault="00EB2C14" w:rsidP="00F06938"/>
    <w:p w14:paraId="0162A507" w14:textId="4061BA76" w:rsidR="00EB2C14" w:rsidRDefault="00EB2C14" w:rsidP="00F06938"/>
    <w:p w14:paraId="003B0E33" w14:textId="77777777" w:rsidR="00EB2C14" w:rsidRPr="00F06938" w:rsidRDefault="00EB2C14" w:rsidP="00F06938"/>
    <w:p w14:paraId="4B9EBEB6" w14:textId="2EC7DE76" w:rsidR="00253F53" w:rsidRDefault="001E1AEE" w:rsidP="00EB2C14">
      <w:pPr>
        <w:pStyle w:val="Heading2"/>
      </w:pPr>
      <w:r>
        <w:lastRenderedPageBreak/>
        <w:t>2 Data</w:t>
      </w:r>
    </w:p>
    <w:p w14:paraId="44AE2F02" w14:textId="77777777" w:rsidR="00EB2C14" w:rsidRPr="00EB2C14" w:rsidRDefault="00EB2C14" w:rsidP="00EB2C14">
      <w:pPr>
        <w:rPr>
          <w:lang w:val="en-AU"/>
        </w:rPr>
      </w:pPr>
    </w:p>
    <w:p w14:paraId="2859CE94" w14:textId="50758E6B" w:rsidR="00253F53" w:rsidRDefault="00253F53" w:rsidP="00253F53">
      <w:r>
        <w:t>Here, the data reflects 2467 responses from a 1990 National Health Interview survey core questionnaire and special supplements</w:t>
      </w:r>
      <w:r w:rsidR="00EB2C14">
        <w:t xml:space="preserve"> (</w:t>
      </w:r>
      <w:proofErr w:type="spellStart"/>
      <w:r w:rsidR="00EB2C14">
        <w:t>Kenkel</w:t>
      </w:r>
      <w:proofErr w:type="spellEnd"/>
      <w:r w:rsidR="00EB2C14">
        <w:t xml:space="preserve"> DS, Terza JV. 2001</w:t>
      </w:r>
      <w:r w:rsidR="00EB2C14">
        <w:t xml:space="preserve">) </w:t>
      </w:r>
      <w:r>
        <w:t>. This is a sub-sample that consists solely of males whom drink currently and have reported being assessed as having high-blood pressure</w:t>
      </w:r>
    </w:p>
    <w:p w14:paraId="1856CC86" w14:textId="77777777" w:rsidR="00253F53" w:rsidRDefault="00253F53" w:rsidP="00253F53"/>
    <w:p w14:paraId="54F0F277" w14:textId="77777777" w:rsidR="00253F53" w:rsidRDefault="00253F53" w:rsidP="00253F53">
      <w:r>
        <w:t xml:space="preserve">                             Variable Definitions, Means, Standard Deviations and Key Features</w:t>
      </w:r>
    </w:p>
    <w:tbl>
      <w:tblPr>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251"/>
        <w:gridCol w:w="851"/>
        <w:gridCol w:w="850"/>
        <w:gridCol w:w="3943"/>
      </w:tblGrid>
      <w:tr w:rsidR="00253F53" w14:paraId="6DFD2DA7" w14:textId="77777777" w:rsidTr="0042596B">
        <w:tc>
          <w:tcPr>
            <w:tcW w:w="1275" w:type="dxa"/>
            <w:shd w:val="clear" w:color="auto" w:fill="auto"/>
            <w:tcMar>
              <w:top w:w="100" w:type="dxa"/>
              <w:left w:w="100" w:type="dxa"/>
              <w:bottom w:w="100" w:type="dxa"/>
              <w:right w:w="100" w:type="dxa"/>
            </w:tcMar>
          </w:tcPr>
          <w:p w14:paraId="3A92AB81" w14:textId="77777777" w:rsidR="00253F53" w:rsidRDefault="00253F53" w:rsidP="0042596B">
            <w:pPr>
              <w:widowControl w:val="0"/>
              <w:pBdr>
                <w:top w:val="nil"/>
                <w:left w:val="nil"/>
                <w:bottom w:val="nil"/>
                <w:right w:val="nil"/>
                <w:between w:val="nil"/>
              </w:pBdr>
            </w:pPr>
            <w:r>
              <w:t>Variable</w:t>
            </w:r>
          </w:p>
        </w:tc>
        <w:tc>
          <w:tcPr>
            <w:tcW w:w="3251" w:type="dxa"/>
            <w:shd w:val="clear" w:color="auto" w:fill="auto"/>
            <w:tcMar>
              <w:top w:w="100" w:type="dxa"/>
              <w:left w:w="100" w:type="dxa"/>
              <w:bottom w:w="100" w:type="dxa"/>
              <w:right w:w="100" w:type="dxa"/>
            </w:tcMar>
          </w:tcPr>
          <w:p w14:paraId="27CA3966" w14:textId="77777777" w:rsidR="00253F53" w:rsidRDefault="00253F53" w:rsidP="0042596B">
            <w:pPr>
              <w:widowControl w:val="0"/>
              <w:pBdr>
                <w:top w:val="nil"/>
                <w:left w:val="nil"/>
                <w:bottom w:val="nil"/>
                <w:right w:val="nil"/>
                <w:between w:val="nil"/>
              </w:pBdr>
            </w:pPr>
            <w:r>
              <w:t>Definition</w:t>
            </w:r>
          </w:p>
        </w:tc>
        <w:tc>
          <w:tcPr>
            <w:tcW w:w="851" w:type="dxa"/>
            <w:shd w:val="clear" w:color="auto" w:fill="auto"/>
            <w:tcMar>
              <w:top w:w="100" w:type="dxa"/>
              <w:left w:w="100" w:type="dxa"/>
              <w:bottom w:w="100" w:type="dxa"/>
              <w:right w:w="100" w:type="dxa"/>
            </w:tcMar>
          </w:tcPr>
          <w:p w14:paraId="1408C71D" w14:textId="77777777" w:rsidR="00253F53" w:rsidRDefault="00253F53" w:rsidP="0042596B">
            <w:pPr>
              <w:widowControl w:val="0"/>
              <w:pBdr>
                <w:top w:val="nil"/>
                <w:left w:val="nil"/>
                <w:bottom w:val="nil"/>
                <w:right w:val="nil"/>
                <w:between w:val="nil"/>
              </w:pBdr>
            </w:pPr>
            <w:r>
              <w:t>Mean</w:t>
            </w:r>
          </w:p>
        </w:tc>
        <w:tc>
          <w:tcPr>
            <w:tcW w:w="850" w:type="dxa"/>
            <w:shd w:val="clear" w:color="auto" w:fill="auto"/>
            <w:tcMar>
              <w:top w:w="100" w:type="dxa"/>
              <w:left w:w="100" w:type="dxa"/>
              <w:bottom w:w="100" w:type="dxa"/>
              <w:right w:w="100" w:type="dxa"/>
            </w:tcMar>
          </w:tcPr>
          <w:p w14:paraId="2FCB5AD5" w14:textId="77777777" w:rsidR="00253F53" w:rsidRDefault="00253F53" w:rsidP="0042596B">
            <w:pPr>
              <w:widowControl w:val="0"/>
              <w:pBdr>
                <w:top w:val="nil"/>
                <w:left w:val="nil"/>
                <w:bottom w:val="nil"/>
                <w:right w:val="nil"/>
                <w:between w:val="nil"/>
              </w:pBdr>
            </w:pPr>
            <w:r>
              <w:t>Std. Dev.</w:t>
            </w:r>
          </w:p>
        </w:tc>
        <w:tc>
          <w:tcPr>
            <w:tcW w:w="3943" w:type="dxa"/>
            <w:shd w:val="clear" w:color="auto" w:fill="auto"/>
            <w:tcMar>
              <w:top w:w="100" w:type="dxa"/>
              <w:left w:w="100" w:type="dxa"/>
              <w:bottom w:w="100" w:type="dxa"/>
              <w:right w:w="100" w:type="dxa"/>
            </w:tcMar>
          </w:tcPr>
          <w:p w14:paraId="2768792B" w14:textId="77777777" w:rsidR="00253F53" w:rsidRDefault="00253F53" w:rsidP="0042596B">
            <w:pPr>
              <w:widowControl w:val="0"/>
              <w:pBdr>
                <w:top w:val="nil"/>
                <w:left w:val="nil"/>
                <w:bottom w:val="nil"/>
                <w:right w:val="nil"/>
                <w:between w:val="nil"/>
              </w:pBdr>
            </w:pPr>
            <w:r>
              <w:t>Key Features</w:t>
            </w:r>
          </w:p>
        </w:tc>
      </w:tr>
      <w:tr w:rsidR="00253F53" w14:paraId="5E3B38C6" w14:textId="77777777" w:rsidTr="0042596B">
        <w:tc>
          <w:tcPr>
            <w:tcW w:w="1275" w:type="dxa"/>
            <w:shd w:val="clear" w:color="auto" w:fill="auto"/>
            <w:tcMar>
              <w:top w:w="100" w:type="dxa"/>
              <w:left w:w="100" w:type="dxa"/>
              <w:bottom w:w="100" w:type="dxa"/>
              <w:right w:w="100" w:type="dxa"/>
            </w:tcMar>
          </w:tcPr>
          <w:p w14:paraId="24CD4100" w14:textId="77777777" w:rsidR="00253F53" w:rsidRDefault="00253F53" w:rsidP="0042596B">
            <w:pPr>
              <w:widowControl w:val="0"/>
              <w:pBdr>
                <w:top w:val="nil"/>
                <w:left w:val="nil"/>
                <w:bottom w:val="nil"/>
                <w:right w:val="nil"/>
                <w:between w:val="nil"/>
              </w:pBdr>
            </w:pPr>
            <w:r>
              <w:t xml:space="preserve">Drinks </w:t>
            </w:r>
          </w:p>
          <w:p w14:paraId="7143750A" w14:textId="77777777" w:rsidR="00253F53" w:rsidRDefault="00253F53" w:rsidP="0042596B">
            <w:pPr>
              <w:widowControl w:val="0"/>
              <w:pBdr>
                <w:top w:val="nil"/>
                <w:left w:val="nil"/>
                <w:bottom w:val="nil"/>
                <w:right w:val="nil"/>
                <w:between w:val="nil"/>
              </w:pBdr>
            </w:pPr>
          </w:p>
        </w:tc>
        <w:tc>
          <w:tcPr>
            <w:tcW w:w="3251" w:type="dxa"/>
            <w:shd w:val="clear" w:color="auto" w:fill="auto"/>
            <w:tcMar>
              <w:top w:w="100" w:type="dxa"/>
              <w:left w:w="100" w:type="dxa"/>
              <w:bottom w:w="100" w:type="dxa"/>
              <w:right w:w="100" w:type="dxa"/>
            </w:tcMar>
          </w:tcPr>
          <w:p w14:paraId="43EDEAE2" w14:textId="77777777" w:rsidR="00253F53" w:rsidRDefault="00253F53" w:rsidP="0042596B">
            <w:pPr>
              <w:widowControl w:val="0"/>
              <w:pBdr>
                <w:top w:val="nil"/>
                <w:left w:val="nil"/>
                <w:bottom w:val="nil"/>
                <w:right w:val="nil"/>
                <w:between w:val="nil"/>
              </w:pBdr>
            </w:pPr>
            <w:r>
              <w:t>Number of alcoholic beverages drunk in the last two weeks</w:t>
            </w:r>
          </w:p>
        </w:tc>
        <w:tc>
          <w:tcPr>
            <w:tcW w:w="851" w:type="dxa"/>
            <w:shd w:val="clear" w:color="auto" w:fill="auto"/>
            <w:tcMar>
              <w:top w:w="100" w:type="dxa"/>
              <w:left w:w="100" w:type="dxa"/>
              <w:bottom w:w="100" w:type="dxa"/>
              <w:right w:w="100" w:type="dxa"/>
            </w:tcMar>
          </w:tcPr>
          <w:p w14:paraId="1958A976" w14:textId="77777777" w:rsidR="00253F53" w:rsidRDefault="00253F53" w:rsidP="0042596B">
            <w:pPr>
              <w:widowControl w:val="0"/>
              <w:pBdr>
                <w:top w:val="nil"/>
                <w:left w:val="nil"/>
                <w:bottom w:val="nil"/>
                <w:right w:val="nil"/>
                <w:between w:val="nil"/>
              </w:pBdr>
            </w:pPr>
            <w:r>
              <w:t>14.70</w:t>
            </w:r>
          </w:p>
        </w:tc>
        <w:tc>
          <w:tcPr>
            <w:tcW w:w="850" w:type="dxa"/>
            <w:shd w:val="clear" w:color="auto" w:fill="auto"/>
            <w:tcMar>
              <w:top w:w="100" w:type="dxa"/>
              <w:left w:w="100" w:type="dxa"/>
              <w:bottom w:w="100" w:type="dxa"/>
              <w:right w:w="100" w:type="dxa"/>
            </w:tcMar>
          </w:tcPr>
          <w:p w14:paraId="7969C0AC" w14:textId="77777777" w:rsidR="00253F53" w:rsidRDefault="00253F53" w:rsidP="0042596B">
            <w:pPr>
              <w:widowControl w:val="0"/>
              <w:pBdr>
                <w:top w:val="nil"/>
                <w:left w:val="nil"/>
                <w:bottom w:val="nil"/>
                <w:right w:val="nil"/>
                <w:between w:val="nil"/>
              </w:pBdr>
            </w:pPr>
            <w:r>
              <w:t>22.75</w:t>
            </w:r>
          </w:p>
        </w:tc>
        <w:tc>
          <w:tcPr>
            <w:tcW w:w="3943" w:type="dxa"/>
            <w:shd w:val="clear" w:color="auto" w:fill="auto"/>
            <w:tcMar>
              <w:top w:w="100" w:type="dxa"/>
              <w:left w:w="100" w:type="dxa"/>
              <w:bottom w:w="100" w:type="dxa"/>
              <w:right w:w="100" w:type="dxa"/>
            </w:tcMar>
          </w:tcPr>
          <w:p w14:paraId="69117826" w14:textId="77777777" w:rsidR="00253F53" w:rsidRDefault="00253F53" w:rsidP="0042596B">
            <w:pPr>
              <w:widowControl w:val="0"/>
              <w:pBdr>
                <w:top w:val="nil"/>
                <w:left w:val="nil"/>
                <w:bottom w:val="nil"/>
                <w:right w:val="nil"/>
                <w:between w:val="nil"/>
              </w:pBdr>
            </w:pPr>
            <w:r>
              <w:t>This is the dependent variable. It is non-negative, with 21.3% of the observations being 0.</w:t>
            </w:r>
          </w:p>
        </w:tc>
      </w:tr>
      <w:tr w:rsidR="00253F53" w14:paraId="02243EEB" w14:textId="77777777" w:rsidTr="0042596B">
        <w:tc>
          <w:tcPr>
            <w:tcW w:w="1275" w:type="dxa"/>
            <w:shd w:val="clear" w:color="auto" w:fill="auto"/>
            <w:tcMar>
              <w:top w:w="100" w:type="dxa"/>
              <w:left w:w="100" w:type="dxa"/>
              <w:bottom w:w="100" w:type="dxa"/>
              <w:right w:w="100" w:type="dxa"/>
            </w:tcMar>
          </w:tcPr>
          <w:p w14:paraId="20FDDE25" w14:textId="77777777" w:rsidR="00253F53" w:rsidRDefault="00253F53" w:rsidP="0042596B">
            <w:pPr>
              <w:widowControl w:val="0"/>
              <w:pBdr>
                <w:top w:val="nil"/>
                <w:left w:val="nil"/>
                <w:bottom w:val="nil"/>
                <w:right w:val="nil"/>
                <w:between w:val="nil"/>
              </w:pBdr>
            </w:pPr>
            <w:r>
              <w:t>Advice</w:t>
            </w:r>
          </w:p>
        </w:tc>
        <w:tc>
          <w:tcPr>
            <w:tcW w:w="3251" w:type="dxa"/>
            <w:shd w:val="clear" w:color="auto" w:fill="auto"/>
            <w:tcMar>
              <w:top w:w="100" w:type="dxa"/>
              <w:left w:w="100" w:type="dxa"/>
              <w:bottom w:w="100" w:type="dxa"/>
              <w:right w:w="100" w:type="dxa"/>
            </w:tcMar>
          </w:tcPr>
          <w:p w14:paraId="463FFF97" w14:textId="77777777" w:rsidR="00253F53" w:rsidRDefault="00253F53" w:rsidP="0042596B">
            <w:pPr>
              <w:widowControl w:val="0"/>
              <w:pBdr>
                <w:top w:val="nil"/>
                <w:left w:val="nil"/>
                <w:bottom w:val="nil"/>
                <w:right w:val="nil"/>
                <w:between w:val="nil"/>
              </w:pBdr>
            </w:pPr>
            <w:r>
              <w:t>Told by physician to drink less</w:t>
            </w:r>
          </w:p>
        </w:tc>
        <w:tc>
          <w:tcPr>
            <w:tcW w:w="851" w:type="dxa"/>
            <w:shd w:val="clear" w:color="auto" w:fill="auto"/>
            <w:tcMar>
              <w:top w:w="100" w:type="dxa"/>
              <w:left w:w="100" w:type="dxa"/>
              <w:bottom w:w="100" w:type="dxa"/>
              <w:right w:w="100" w:type="dxa"/>
            </w:tcMar>
          </w:tcPr>
          <w:p w14:paraId="203D2F01" w14:textId="77777777" w:rsidR="00253F53" w:rsidRDefault="00253F53" w:rsidP="0042596B">
            <w:pPr>
              <w:widowControl w:val="0"/>
              <w:pBdr>
                <w:top w:val="nil"/>
                <w:left w:val="nil"/>
                <w:bottom w:val="nil"/>
                <w:right w:val="nil"/>
                <w:between w:val="nil"/>
              </w:pBdr>
            </w:pPr>
            <w:r>
              <w:t>0.279</w:t>
            </w:r>
          </w:p>
        </w:tc>
        <w:tc>
          <w:tcPr>
            <w:tcW w:w="850" w:type="dxa"/>
            <w:shd w:val="clear" w:color="auto" w:fill="auto"/>
            <w:tcMar>
              <w:top w:w="100" w:type="dxa"/>
              <w:left w:w="100" w:type="dxa"/>
              <w:bottom w:w="100" w:type="dxa"/>
              <w:right w:w="100" w:type="dxa"/>
            </w:tcMar>
          </w:tcPr>
          <w:p w14:paraId="66410976" w14:textId="77777777" w:rsidR="00253F53" w:rsidRDefault="00253F53" w:rsidP="0042596B">
            <w:pPr>
              <w:widowControl w:val="0"/>
              <w:pBdr>
                <w:top w:val="nil"/>
                <w:left w:val="nil"/>
                <w:bottom w:val="nil"/>
                <w:right w:val="nil"/>
                <w:between w:val="nil"/>
              </w:pBdr>
            </w:pPr>
            <w:r>
              <w:t>0.448</w:t>
            </w:r>
          </w:p>
        </w:tc>
        <w:tc>
          <w:tcPr>
            <w:tcW w:w="3943" w:type="dxa"/>
            <w:shd w:val="clear" w:color="auto" w:fill="auto"/>
            <w:tcMar>
              <w:top w:w="100" w:type="dxa"/>
              <w:left w:w="100" w:type="dxa"/>
              <w:bottom w:w="100" w:type="dxa"/>
              <w:right w:w="100" w:type="dxa"/>
            </w:tcMar>
          </w:tcPr>
          <w:p w14:paraId="6814D45F" w14:textId="77777777" w:rsidR="00253F53" w:rsidRDefault="00253F53" w:rsidP="0042596B">
            <w:pPr>
              <w:widowControl w:val="0"/>
              <w:pBdr>
                <w:top w:val="nil"/>
                <w:left w:val="nil"/>
                <w:bottom w:val="nil"/>
                <w:right w:val="nil"/>
                <w:between w:val="nil"/>
              </w:pBdr>
            </w:pPr>
            <w:r>
              <w:t>This is a binary variable.</w:t>
            </w:r>
          </w:p>
        </w:tc>
      </w:tr>
      <w:tr w:rsidR="00253F53" w14:paraId="339734BC" w14:textId="77777777" w:rsidTr="0042596B">
        <w:tc>
          <w:tcPr>
            <w:tcW w:w="1275" w:type="dxa"/>
            <w:shd w:val="clear" w:color="auto" w:fill="auto"/>
            <w:tcMar>
              <w:top w:w="100" w:type="dxa"/>
              <w:left w:w="100" w:type="dxa"/>
              <w:bottom w:w="100" w:type="dxa"/>
              <w:right w:w="100" w:type="dxa"/>
            </w:tcMar>
          </w:tcPr>
          <w:p w14:paraId="438E8142" w14:textId="77777777" w:rsidR="00253F53" w:rsidRDefault="00253F53" w:rsidP="0042596B">
            <w:pPr>
              <w:widowControl w:val="0"/>
              <w:pBdr>
                <w:top w:val="nil"/>
                <w:left w:val="nil"/>
                <w:bottom w:val="nil"/>
                <w:right w:val="nil"/>
                <w:between w:val="nil"/>
              </w:pBdr>
            </w:pPr>
            <w:proofErr w:type="spellStart"/>
            <w:r>
              <w:t>Editinc</w:t>
            </w:r>
            <w:proofErr w:type="spellEnd"/>
          </w:p>
        </w:tc>
        <w:tc>
          <w:tcPr>
            <w:tcW w:w="3251" w:type="dxa"/>
            <w:shd w:val="clear" w:color="auto" w:fill="auto"/>
            <w:tcMar>
              <w:top w:w="100" w:type="dxa"/>
              <w:left w:w="100" w:type="dxa"/>
              <w:bottom w:w="100" w:type="dxa"/>
              <w:right w:w="100" w:type="dxa"/>
            </w:tcMar>
          </w:tcPr>
          <w:p w14:paraId="4D018A2F" w14:textId="77777777" w:rsidR="00253F53" w:rsidRDefault="00253F53" w:rsidP="0042596B">
            <w:pPr>
              <w:widowControl w:val="0"/>
              <w:pBdr>
                <w:top w:val="nil"/>
                <w:left w:val="nil"/>
                <w:bottom w:val="nil"/>
                <w:right w:val="nil"/>
                <w:between w:val="nil"/>
              </w:pBdr>
            </w:pPr>
            <w:r>
              <w:t>Monthly income</w:t>
            </w:r>
          </w:p>
        </w:tc>
        <w:tc>
          <w:tcPr>
            <w:tcW w:w="851" w:type="dxa"/>
            <w:shd w:val="clear" w:color="auto" w:fill="auto"/>
            <w:tcMar>
              <w:top w:w="100" w:type="dxa"/>
              <w:left w:w="100" w:type="dxa"/>
              <w:bottom w:w="100" w:type="dxa"/>
              <w:right w:w="100" w:type="dxa"/>
            </w:tcMar>
          </w:tcPr>
          <w:p w14:paraId="4F1F094F" w14:textId="77777777" w:rsidR="00253F53" w:rsidRDefault="00253F53" w:rsidP="0042596B">
            <w:pPr>
              <w:widowControl w:val="0"/>
              <w:pBdr>
                <w:top w:val="nil"/>
                <w:left w:val="nil"/>
                <w:bottom w:val="nil"/>
                <w:right w:val="nil"/>
                <w:between w:val="nil"/>
              </w:pBdr>
            </w:pPr>
            <w:r>
              <w:t>2.575</w:t>
            </w:r>
          </w:p>
        </w:tc>
        <w:tc>
          <w:tcPr>
            <w:tcW w:w="850" w:type="dxa"/>
            <w:shd w:val="clear" w:color="auto" w:fill="auto"/>
            <w:tcMar>
              <w:top w:w="100" w:type="dxa"/>
              <w:left w:w="100" w:type="dxa"/>
              <w:bottom w:w="100" w:type="dxa"/>
              <w:right w:w="100" w:type="dxa"/>
            </w:tcMar>
          </w:tcPr>
          <w:p w14:paraId="74B50C8A" w14:textId="77777777" w:rsidR="00253F53" w:rsidRDefault="00253F53" w:rsidP="0042596B">
            <w:pPr>
              <w:widowControl w:val="0"/>
              <w:pBdr>
                <w:top w:val="nil"/>
                <w:left w:val="nil"/>
                <w:bottom w:val="nil"/>
                <w:right w:val="nil"/>
                <w:between w:val="nil"/>
              </w:pBdr>
            </w:pPr>
            <w:r>
              <w:t>5.008</w:t>
            </w:r>
          </w:p>
        </w:tc>
        <w:tc>
          <w:tcPr>
            <w:tcW w:w="3943" w:type="dxa"/>
            <w:shd w:val="clear" w:color="auto" w:fill="auto"/>
            <w:tcMar>
              <w:top w:w="100" w:type="dxa"/>
              <w:left w:w="100" w:type="dxa"/>
              <w:bottom w:w="100" w:type="dxa"/>
              <w:right w:w="100" w:type="dxa"/>
            </w:tcMar>
          </w:tcPr>
          <w:p w14:paraId="60AEF91A" w14:textId="77777777" w:rsidR="00253F53" w:rsidRDefault="00253F53" w:rsidP="0042596B">
            <w:pPr>
              <w:widowControl w:val="0"/>
              <w:pBdr>
                <w:top w:val="nil"/>
                <w:left w:val="nil"/>
                <w:bottom w:val="nil"/>
                <w:right w:val="nil"/>
                <w:between w:val="nil"/>
              </w:pBdr>
            </w:pPr>
            <w:r>
              <w:t>Measured in American dollars ($1000)</w:t>
            </w:r>
          </w:p>
        </w:tc>
      </w:tr>
      <w:tr w:rsidR="00253F53" w14:paraId="2508C816" w14:textId="77777777" w:rsidTr="0042596B">
        <w:tc>
          <w:tcPr>
            <w:tcW w:w="1275" w:type="dxa"/>
            <w:shd w:val="clear" w:color="auto" w:fill="auto"/>
            <w:tcMar>
              <w:top w:w="100" w:type="dxa"/>
              <w:left w:w="100" w:type="dxa"/>
              <w:bottom w:w="100" w:type="dxa"/>
              <w:right w:w="100" w:type="dxa"/>
            </w:tcMar>
          </w:tcPr>
          <w:p w14:paraId="4ACEE56A" w14:textId="77777777" w:rsidR="00253F53" w:rsidRDefault="00253F53" w:rsidP="0042596B">
            <w:pPr>
              <w:widowControl w:val="0"/>
              <w:pBdr>
                <w:top w:val="nil"/>
                <w:left w:val="nil"/>
                <w:bottom w:val="nil"/>
                <w:right w:val="nil"/>
                <w:between w:val="nil"/>
              </w:pBdr>
            </w:pPr>
            <w:proofErr w:type="spellStart"/>
            <w:r>
              <w:t>Unemploy</w:t>
            </w:r>
            <w:proofErr w:type="spellEnd"/>
          </w:p>
        </w:tc>
        <w:tc>
          <w:tcPr>
            <w:tcW w:w="3251" w:type="dxa"/>
            <w:shd w:val="clear" w:color="auto" w:fill="auto"/>
            <w:tcMar>
              <w:top w:w="100" w:type="dxa"/>
              <w:left w:w="100" w:type="dxa"/>
              <w:bottom w:w="100" w:type="dxa"/>
              <w:right w:w="100" w:type="dxa"/>
            </w:tcMar>
          </w:tcPr>
          <w:p w14:paraId="7E43FA88" w14:textId="77777777" w:rsidR="00253F53" w:rsidRDefault="00253F53" w:rsidP="0042596B">
            <w:pPr>
              <w:widowControl w:val="0"/>
              <w:pBdr>
                <w:top w:val="nil"/>
                <w:left w:val="nil"/>
                <w:bottom w:val="nil"/>
                <w:right w:val="nil"/>
                <w:between w:val="nil"/>
              </w:pBdr>
            </w:pPr>
            <w:r>
              <w:t>If a person is unemployed</w:t>
            </w:r>
          </w:p>
        </w:tc>
        <w:tc>
          <w:tcPr>
            <w:tcW w:w="851" w:type="dxa"/>
            <w:shd w:val="clear" w:color="auto" w:fill="auto"/>
            <w:tcMar>
              <w:top w:w="100" w:type="dxa"/>
              <w:left w:w="100" w:type="dxa"/>
              <w:bottom w:w="100" w:type="dxa"/>
              <w:right w:w="100" w:type="dxa"/>
            </w:tcMar>
          </w:tcPr>
          <w:p w14:paraId="10EF2A3F" w14:textId="77777777" w:rsidR="00253F53" w:rsidRDefault="00253F53" w:rsidP="0042596B">
            <w:pPr>
              <w:widowControl w:val="0"/>
              <w:pBdr>
                <w:top w:val="nil"/>
                <w:left w:val="nil"/>
                <w:bottom w:val="nil"/>
                <w:right w:val="nil"/>
                <w:between w:val="nil"/>
              </w:pBdr>
            </w:pPr>
            <w:r>
              <w:t>0.666</w:t>
            </w:r>
          </w:p>
        </w:tc>
        <w:tc>
          <w:tcPr>
            <w:tcW w:w="850" w:type="dxa"/>
            <w:shd w:val="clear" w:color="auto" w:fill="auto"/>
            <w:tcMar>
              <w:top w:w="100" w:type="dxa"/>
              <w:left w:w="100" w:type="dxa"/>
              <w:bottom w:w="100" w:type="dxa"/>
              <w:right w:w="100" w:type="dxa"/>
            </w:tcMar>
          </w:tcPr>
          <w:p w14:paraId="423469A9" w14:textId="77777777" w:rsidR="00253F53" w:rsidRDefault="00253F53" w:rsidP="0042596B">
            <w:pPr>
              <w:widowControl w:val="0"/>
              <w:pBdr>
                <w:top w:val="nil"/>
                <w:left w:val="nil"/>
                <w:bottom w:val="nil"/>
                <w:right w:val="nil"/>
                <w:between w:val="nil"/>
              </w:pBdr>
            </w:pPr>
            <w:r>
              <w:t>0.168</w:t>
            </w:r>
          </w:p>
        </w:tc>
        <w:tc>
          <w:tcPr>
            <w:tcW w:w="3943" w:type="dxa"/>
            <w:shd w:val="clear" w:color="auto" w:fill="auto"/>
            <w:tcMar>
              <w:top w:w="100" w:type="dxa"/>
              <w:left w:w="100" w:type="dxa"/>
              <w:bottom w:w="100" w:type="dxa"/>
              <w:right w:w="100" w:type="dxa"/>
            </w:tcMar>
          </w:tcPr>
          <w:p w14:paraId="6FC649C4" w14:textId="77777777" w:rsidR="00253F53" w:rsidRDefault="00253F53" w:rsidP="0042596B">
            <w:pPr>
              <w:widowControl w:val="0"/>
              <w:pBdr>
                <w:top w:val="nil"/>
                <w:left w:val="nil"/>
                <w:bottom w:val="nil"/>
                <w:right w:val="nil"/>
                <w:between w:val="nil"/>
              </w:pBdr>
            </w:pPr>
            <w:r>
              <w:t>This is a binary variable.</w:t>
            </w:r>
          </w:p>
        </w:tc>
      </w:tr>
      <w:tr w:rsidR="00253F53" w14:paraId="19105EED" w14:textId="77777777" w:rsidTr="0042596B">
        <w:tc>
          <w:tcPr>
            <w:tcW w:w="1275" w:type="dxa"/>
            <w:shd w:val="clear" w:color="auto" w:fill="auto"/>
            <w:tcMar>
              <w:top w:w="100" w:type="dxa"/>
              <w:left w:w="100" w:type="dxa"/>
              <w:bottom w:w="100" w:type="dxa"/>
              <w:right w:w="100" w:type="dxa"/>
            </w:tcMar>
          </w:tcPr>
          <w:p w14:paraId="5CF0AC69" w14:textId="77777777" w:rsidR="00253F53" w:rsidRDefault="00253F53" w:rsidP="0042596B">
            <w:pPr>
              <w:widowControl w:val="0"/>
              <w:pBdr>
                <w:top w:val="nil"/>
                <w:left w:val="nil"/>
                <w:bottom w:val="nil"/>
                <w:right w:val="nil"/>
                <w:between w:val="nil"/>
              </w:pBdr>
            </w:pPr>
            <w:r>
              <w:t>Educ</w:t>
            </w:r>
          </w:p>
        </w:tc>
        <w:tc>
          <w:tcPr>
            <w:tcW w:w="3251" w:type="dxa"/>
            <w:shd w:val="clear" w:color="auto" w:fill="auto"/>
            <w:tcMar>
              <w:top w:w="100" w:type="dxa"/>
              <w:left w:w="100" w:type="dxa"/>
              <w:bottom w:w="100" w:type="dxa"/>
              <w:right w:w="100" w:type="dxa"/>
            </w:tcMar>
          </w:tcPr>
          <w:p w14:paraId="18132FBC" w14:textId="77777777" w:rsidR="00253F53" w:rsidRDefault="00253F53" w:rsidP="0042596B">
            <w:pPr>
              <w:widowControl w:val="0"/>
              <w:pBdr>
                <w:top w:val="nil"/>
                <w:left w:val="nil"/>
                <w:bottom w:val="nil"/>
                <w:right w:val="nil"/>
                <w:between w:val="nil"/>
              </w:pBdr>
            </w:pPr>
            <w:r>
              <w:t>Years of formal education</w:t>
            </w:r>
          </w:p>
        </w:tc>
        <w:tc>
          <w:tcPr>
            <w:tcW w:w="851" w:type="dxa"/>
            <w:shd w:val="clear" w:color="auto" w:fill="auto"/>
            <w:tcMar>
              <w:top w:w="100" w:type="dxa"/>
              <w:left w:w="100" w:type="dxa"/>
              <w:bottom w:w="100" w:type="dxa"/>
              <w:right w:w="100" w:type="dxa"/>
            </w:tcMar>
          </w:tcPr>
          <w:p w14:paraId="331AEEE1" w14:textId="77777777" w:rsidR="00253F53" w:rsidRDefault="00253F53" w:rsidP="0042596B">
            <w:pPr>
              <w:widowControl w:val="0"/>
              <w:pBdr>
                <w:top w:val="nil"/>
                <w:left w:val="nil"/>
                <w:bottom w:val="nil"/>
                <w:right w:val="nil"/>
                <w:between w:val="nil"/>
              </w:pBdr>
            </w:pPr>
            <w:r>
              <w:t>12.93</w:t>
            </w:r>
          </w:p>
        </w:tc>
        <w:tc>
          <w:tcPr>
            <w:tcW w:w="850" w:type="dxa"/>
            <w:shd w:val="clear" w:color="auto" w:fill="auto"/>
            <w:tcMar>
              <w:top w:w="100" w:type="dxa"/>
              <w:left w:w="100" w:type="dxa"/>
              <w:bottom w:w="100" w:type="dxa"/>
              <w:right w:w="100" w:type="dxa"/>
            </w:tcMar>
          </w:tcPr>
          <w:p w14:paraId="2B4AEE54" w14:textId="77777777" w:rsidR="00253F53" w:rsidRDefault="00253F53" w:rsidP="0042596B">
            <w:pPr>
              <w:widowControl w:val="0"/>
              <w:pBdr>
                <w:top w:val="nil"/>
                <w:left w:val="nil"/>
                <w:bottom w:val="nil"/>
                <w:right w:val="nil"/>
                <w:between w:val="nil"/>
              </w:pBdr>
            </w:pPr>
            <w:r>
              <w:t>3.087</w:t>
            </w:r>
          </w:p>
        </w:tc>
        <w:tc>
          <w:tcPr>
            <w:tcW w:w="3943" w:type="dxa"/>
            <w:shd w:val="clear" w:color="auto" w:fill="auto"/>
            <w:tcMar>
              <w:top w:w="100" w:type="dxa"/>
              <w:left w:w="100" w:type="dxa"/>
              <w:bottom w:w="100" w:type="dxa"/>
              <w:right w:w="100" w:type="dxa"/>
            </w:tcMar>
          </w:tcPr>
          <w:p w14:paraId="74A5D604" w14:textId="77777777" w:rsidR="00253F53" w:rsidRDefault="00253F53" w:rsidP="0042596B">
            <w:pPr>
              <w:widowControl w:val="0"/>
              <w:pBdr>
                <w:top w:val="nil"/>
                <w:left w:val="nil"/>
                <w:bottom w:val="nil"/>
                <w:right w:val="nil"/>
                <w:between w:val="nil"/>
              </w:pBdr>
            </w:pPr>
            <w:r>
              <w:t>This is non-negative.</w:t>
            </w:r>
          </w:p>
        </w:tc>
      </w:tr>
      <w:tr w:rsidR="00253F53" w14:paraId="72C8E6A2" w14:textId="77777777" w:rsidTr="0042596B">
        <w:tc>
          <w:tcPr>
            <w:tcW w:w="1275" w:type="dxa"/>
            <w:shd w:val="clear" w:color="auto" w:fill="auto"/>
            <w:tcMar>
              <w:top w:w="100" w:type="dxa"/>
              <w:left w:w="100" w:type="dxa"/>
              <w:bottom w:w="100" w:type="dxa"/>
              <w:right w:w="100" w:type="dxa"/>
            </w:tcMar>
          </w:tcPr>
          <w:p w14:paraId="24166D29" w14:textId="77777777" w:rsidR="00253F53" w:rsidRDefault="00253F53" w:rsidP="0042596B">
            <w:pPr>
              <w:widowControl w:val="0"/>
              <w:pBdr>
                <w:top w:val="nil"/>
                <w:left w:val="nil"/>
                <w:bottom w:val="nil"/>
                <w:right w:val="nil"/>
                <w:between w:val="nil"/>
              </w:pBdr>
            </w:pPr>
            <w:proofErr w:type="spellStart"/>
            <w:r>
              <w:t>Hhrtcond</w:t>
            </w:r>
            <w:proofErr w:type="spellEnd"/>
          </w:p>
        </w:tc>
        <w:tc>
          <w:tcPr>
            <w:tcW w:w="3251" w:type="dxa"/>
            <w:shd w:val="clear" w:color="auto" w:fill="auto"/>
            <w:tcMar>
              <w:top w:w="100" w:type="dxa"/>
              <w:left w:w="100" w:type="dxa"/>
              <w:bottom w:w="100" w:type="dxa"/>
              <w:right w:w="100" w:type="dxa"/>
            </w:tcMar>
          </w:tcPr>
          <w:p w14:paraId="0B66872E" w14:textId="77777777" w:rsidR="00253F53" w:rsidRDefault="00253F53" w:rsidP="0042596B">
            <w:pPr>
              <w:widowControl w:val="0"/>
              <w:pBdr>
                <w:top w:val="nil"/>
                <w:left w:val="nil"/>
                <w:bottom w:val="nil"/>
                <w:right w:val="nil"/>
                <w:between w:val="nil"/>
              </w:pBdr>
            </w:pPr>
            <w:r>
              <w:t>If they have a heart condition</w:t>
            </w:r>
          </w:p>
        </w:tc>
        <w:tc>
          <w:tcPr>
            <w:tcW w:w="851" w:type="dxa"/>
            <w:shd w:val="clear" w:color="auto" w:fill="auto"/>
            <w:tcMar>
              <w:top w:w="100" w:type="dxa"/>
              <w:left w:w="100" w:type="dxa"/>
              <w:bottom w:w="100" w:type="dxa"/>
              <w:right w:w="100" w:type="dxa"/>
            </w:tcMar>
          </w:tcPr>
          <w:p w14:paraId="775C958C" w14:textId="77777777" w:rsidR="00253F53" w:rsidRDefault="00253F53" w:rsidP="0042596B">
            <w:pPr>
              <w:widowControl w:val="0"/>
              <w:pBdr>
                <w:top w:val="nil"/>
                <w:left w:val="nil"/>
                <w:bottom w:val="nil"/>
                <w:right w:val="nil"/>
                <w:between w:val="nil"/>
              </w:pBdr>
            </w:pPr>
            <w:r>
              <w:t>0.146</w:t>
            </w:r>
          </w:p>
        </w:tc>
        <w:tc>
          <w:tcPr>
            <w:tcW w:w="850" w:type="dxa"/>
            <w:shd w:val="clear" w:color="auto" w:fill="auto"/>
            <w:tcMar>
              <w:top w:w="100" w:type="dxa"/>
              <w:left w:w="100" w:type="dxa"/>
              <w:bottom w:w="100" w:type="dxa"/>
              <w:right w:w="100" w:type="dxa"/>
            </w:tcMar>
          </w:tcPr>
          <w:p w14:paraId="35E211A6" w14:textId="77777777" w:rsidR="00253F53" w:rsidRDefault="00253F53" w:rsidP="0042596B">
            <w:pPr>
              <w:widowControl w:val="0"/>
              <w:pBdr>
                <w:top w:val="nil"/>
                <w:left w:val="nil"/>
                <w:bottom w:val="nil"/>
                <w:right w:val="nil"/>
                <w:between w:val="nil"/>
              </w:pBdr>
            </w:pPr>
            <w:r>
              <w:t>0.352</w:t>
            </w:r>
          </w:p>
        </w:tc>
        <w:tc>
          <w:tcPr>
            <w:tcW w:w="3943" w:type="dxa"/>
            <w:shd w:val="clear" w:color="auto" w:fill="auto"/>
            <w:tcMar>
              <w:top w:w="100" w:type="dxa"/>
              <w:left w:w="100" w:type="dxa"/>
              <w:bottom w:w="100" w:type="dxa"/>
              <w:right w:w="100" w:type="dxa"/>
            </w:tcMar>
          </w:tcPr>
          <w:p w14:paraId="3CCBD576" w14:textId="77777777" w:rsidR="00253F53" w:rsidRDefault="00253F53" w:rsidP="0042596B">
            <w:pPr>
              <w:widowControl w:val="0"/>
              <w:pBdr>
                <w:top w:val="nil"/>
                <w:left w:val="nil"/>
                <w:bottom w:val="nil"/>
                <w:right w:val="nil"/>
                <w:between w:val="nil"/>
              </w:pBdr>
            </w:pPr>
            <w:r>
              <w:t>This is a binary variable.</w:t>
            </w:r>
          </w:p>
        </w:tc>
      </w:tr>
      <w:tr w:rsidR="00253F53" w14:paraId="16ABFBF6" w14:textId="77777777" w:rsidTr="0042596B">
        <w:tc>
          <w:tcPr>
            <w:tcW w:w="1275" w:type="dxa"/>
            <w:shd w:val="clear" w:color="auto" w:fill="auto"/>
            <w:tcMar>
              <w:top w:w="100" w:type="dxa"/>
              <w:left w:w="100" w:type="dxa"/>
              <w:bottom w:w="100" w:type="dxa"/>
              <w:right w:w="100" w:type="dxa"/>
            </w:tcMar>
          </w:tcPr>
          <w:p w14:paraId="2044BBBB" w14:textId="77777777" w:rsidR="00253F53" w:rsidRDefault="00253F53" w:rsidP="0042596B">
            <w:pPr>
              <w:widowControl w:val="0"/>
              <w:pBdr>
                <w:top w:val="nil"/>
                <w:left w:val="nil"/>
                <w:bottom w:val="nil"/>
                <w:right w:val="nil"/>
                <w:between w:val="nil"/>
              </w:pBdr>
            </w:pPr>
            <w:proofErr w:type="spellStart"/>
            <w:r>
              <w:t>Hlthins</w:t>
            </w:r>
            <w:proofErr w:type="spellEnd"/>
          </w:p>
        </w:tc>
        <w:tc>
          <w:tcPr>
            <w:tcW w:w="3251" w:type="dxa"/>
            <w:shd w:val="clear" w:color="auto" w:fill="auto"/>
            <w:tcMar>
              <w:top w:w="100" w:type="dxa"/>
              <w:left w:w="100" w:type="dxa"/>
              <w:bottom w:w="100" w:type="dxa"/>
              <w:right w:w="100" w:type="dxa"/>
            </w:tcMar>
          </w:tcPr>
          <w:p w14:paraId="07E2B78C" w14:textId="77777777" w:rsidR="00253F53" w:rsidRDefault="00253F53" w:rsidP="0042596B">
            <w:pPr>
              <w:widowControl w:val="0"/>
              <w:pBdr>
                <w:top w:val="nil"/>
                <w:left w:val="nil"/>
                <w:bottom w:val="nil"/>
                <w:right w:val="nil"/>
                <w:between w:val="nil"/>
              </w:pBdr>
            </w:pPr>
            <w:r>
              <w:t>If they have health insurance</w:t>
            </w:r>
          </w:p>
        </w:tc>
        <w:tc>
          <w:tcPr>
            <w:tcW w:w="851" w:type="dxa"/>
            <w:shd w:val="clear" w:color="auto" w:fill="auto"/>
            <w:tcMar>
              <w:top w:w="100" w:type="dxa"/>
              <w:left w:w="100" w:type="dxa"/>
              <w:bottom w:w="100" w:type="dxa"/>
              <w:right w:w="100" w:type="dxa"/>
            </w:tcMar>
          </w:tcPr>
          <w:p w14:paraId="1FA83BB2" w14:textId="77777777" w:rsidR="00253F53" w:rsidRDefault="00253F53" w:rsidP="0042596B">
            <w:pPr>
              <w:widowControl w:val="0"/>
              <w:pBdr>
                <w:top w:val="nil"/>
                <w:left w:val="nil"/>
                <w:bottom w:val="nil"/>
                <w:right w:val="nil"/>
                <w:between w:val="nil"/>
              </w:pBdr>
            </w:pPr>
            <w:r>
              <w:t>0.815</w:t>
            </w:r>
          </w:p>
        </w:tc>
        <w:tc>
          <w:tcPr>
            <w:tcW w:w="850" w:type="dxa"/>
            <w:shd w:val="clear" w:color="auto" w:fill="auto"/>
            <w:tcMar>
              <w:top w:w="100" w:type="dxa"/>
              <w:left w:w="100" w:type="dxa"/>
              <w:bottom w:w="100" w:type="dxa"/>
              <w:right w:w="100" w:type="dxa"/>
            </w:tcMar>
          </w:tcPr>
          <w:p w14:paraId="1406DA3B" w14:textId="77777777" w:rsidR="00253F53" w:rsidRDefault="00253F53" w:rsidP="0042596B">
            <w:pPr>
              <w:widowControl w:val="0"/>
              <w:pBdr>
                <w:top w:val="nil"/>
                <w:left w:val="nil"/>
                <w:bottom w:val="nil"/>
                <w:right w:val="nil"/>
                <w:between w:val="nil"/>
              </w:pBdr>
            </w:pPr>
            <w:r>
              <w:t>0.389</w:t>
            </w:r>
          </w:p>
        </w:tc>
        <w:tc>
          <w:tcPr>
            <w:tcW w:w="3943" w:type="dxa"/>
            <w:shd w:val="clear" w:color="auto" w:fill="auto"/>
            <w:tcMar>
              <w:top w:w="100" w:type="dxa"/>
              <w:left w:w="100" w:type="dxa"/>
              <w:bottom w:w="100" w:type="dxa"/>
              <w:right w:w="100" w:type="dxa"/>
            </w:tcMar>
          </w:tcPr>
          <w:p w14:paraId="65EED69C" w14:textId="77777777" w:rsidR="00253F53" w:rsidRDefault="00253F53" w:rsidP="0042596B">
            <w:pPr>
              <w:widowControl w:val="0"/>
              <w:pBdr>
                <w:top w:val="nil"/>
                <w:left w:val="nil"/>
                <w:bottom w:val="nil"/>
                <w:right w:val="nil"/>
                <w:between w:val="nil"/>
              </w:pBdr>
            </w:pPr>
            <w:r>
              <w:t>This is a binary variable.</w:t>
            </w:r>
          </w:p>
        </w:tc>
      </w:tr>
      <w:tr w:rsidR="0042596B" w14:paraId="339E46D2" w14:textId="77777777" w:rsidTr="0042596B">
        <w:tc>
          <w:tcPr>
            <w:tcW w:w="1275" w:type="dxa"/>
            <w:shd w:val="clear" w:color="auto" w:fill="auto"/>
            <w:tcMar>
              <w:top w:w="100" w:type="dxa"/>
              <w:left w:w="100" w:type="dxa"/>
              <w:bottom w:w="100" w:type="dxa"/>
              <w:right w:w="100" w:type="dxa"/>
            </w:tcMar>
          </w:tcPr>
          <w:p w14:paraId="00A78F9C" w14:textId="72E2BCAD" w:rsidR="0042596B" w:rsidRDefault="0042596B" w:rsidP="0042596B">
            <w:pPr>
              <w:widowControl w:val="0"/>
              <w:pBdr>
                <w:top w:val="nil"/>
                <w:left w:val="nil"/>
                <w:bottom w:val="nil"/>
                <w:right w:val="nil"/>
                <w:between w:val="nil"/>
              </w:pBdr>
            </w:pPr>
            <w:r>
              <w:t>Dr1</w:t>
            </w:r>
          </w:p>
        </w:tc>
        <w:tc>
          <w:tcPr>
            <w:tcW w:w="3251" w:type="dxa"/>
            <w:shd w:val="clear" w:color="auto" w:fill="auto"/>
            <w:tcMar>
              <w:top w:w="100" w:type="dxa"/>
              <w:left w:w="100" w:type="dxa"/>
              <w:bottom w:w="100" w:type="dxa"/>
              <w:right w:w="100" w:type="dxa"/>
            </w:tcMar>
          </w:tcPr>
          <w:p w14:paraId="373D12B0" w14:textId="158517C4" w:rsidR="0042596B" w:rsidRDefault="0042596B" w:rsidP="0042596B">
            <w:pPr>
              <w:widowControl w:val="0"/>
              <w:pBdr>
                <w:top w:val="nil"/>
                <w:left w:val="nil"/>
                <w:bottom w:val="nil"/>
                <w:right w:val="nil"/>
                <w:between w:val="nil"/>
              </w:pBdr>
            </w:pPr>
            <w:r>
              <w:t>They see the same doctor</w:t>
            </w:r>
          </w:p>
        </w:tc>
        <w:tc>
          <w:tcPr>
            <w:tcW w:w="851" w:type="dxa"/>
            <w:shd w:val="clear" w:color="auto" w:fill="auto"/>
            <w:tcMar>
              <w:top w:w="100" w:type="dxa"/>
              <w:left w:w="100" w:type="dxa"/>
              <w:bottom w:w="100" w:type="dxa"/>
              <w:right w:w="100" w:type="dxa"/>
            </w:tcMar>
          </w:tcPr>
          <w:p w14:paraId="3D02BA90" w14:textId="3470BC10" w:rsidR="0042596B" w:rsidRDefault="0042596B" w:rsidP="0042596B">
            <w:pPr>
              <w:widowControl w:val="0"/>
              <w:pBdr>
                <w:top w:val="nil"/>
                <w:left w:val="nil"/>
                <w:bottom w:val="nil"/>
                <w:right w:val="nil"/>
                <w:between w:val="nil"/>
              </w:pBdr>
            </w:pPr>
            <w:r>
              <w:t>0.721</w:t>
            </w:r>
          </w:p>
        </w:tc>
        <w:tc>
          <w:tcPr>
            <w:tcW w:w="850" w:type="dxa"/>
            <w:shd w:val="clear" w:color="auto" w:fill="auto"/>
            <w:tcMar>
              <w:top w:w="100" w:type="dxa"/>
              <w:left w:w="100" w:type="dxa"/>
              <w:bottom w:w="100" w:type="dxa"/>
              <w:right w:w="100" w:type="dxa"/>
            </w:tcMar>
          </w:tcPr>
          <w:p w14:paraId="2CBBF656" w14:textId="321AC419" w:rsidR="0042596B" w:rsidRDefault="0042596B" w:rsidP="0042596B">
            <w:pPr>
              <w:widowControl w:val="0"/>
              <w:pBdr>
                <w:top w:val="nil"/>
                <w:left w:val="nil"/>
                <w:bottom w:val="nil"/>
                <w:right w:val="nil"/>
                <w:between w:val="nil"/>
              </w:pBdr>
            </w:pPr>
            <w:r>
              <w:t>0.449</w:t>
            </w:r>
          </w:p>
        </w:tc>
        <w:tc>
          <w:tcPr>
            <w:tcW w:w="3943" w:type="dxa"/>
            <w:shd w:val="clear" w:color="auto" w:fill="auto"/>
            <w:tcMar>
              <w:top w:w="100" w:type="dxa"/>
              <w:left w:w="100" w:type="dxa"/>
              <w:bottom w:w="100" w:type="dxa"/>
              <w:right w:w="100" w:type="dxa"/>
            </w:tcMar>
          </w:tcPr>
          <w:p w14:paraId="41E61AC8" w14:textId="47B7DC15" w:rsidR="0042596B" w:rsidRDefault="0042596B" w:rsidP="0042596B">
            <w:pPr>
              <w:widowControl w:val="0"/>
              <w:pBdr>
                <w:top w:val="nil"/>
                <w:left w:val="nil"/>
                <w:bottom w:val="nil"/>
                <w:right w:val="nil"/>
                <w:between w:val="nil"/>
              </w:pBdr>
            </w:pPr>
            <w:r>
              <w:t>This is a binary variable</w:t>
            </w:r>
          </w:p>
        </w:tc>
      </w:tr>
    </w:tbl>
    <w:p w14:paraId="69DA0759" w14:textId="77777777" w:rsidR="00EB2C14" w:rsidRPr="007D56F5" w:rsidRDefault="00EB2C14" w:rsidP="007D56F5">
      <w:pPr>
        <w:rPr>
          <w:lang w:val="en-AU"/>
        </w:rPr>
      </w:pPr>
    </w:p>
    <w:p w14:paraId="5CB97335" w14:textId="426F43AD" w:rsidR="001E1AEE" w:rsidRDefault="001E1AEE" w:rsidP="001E1AEE">
      <w:pPr>
        <w:pStyle w:val="Heading2"/>
      </w:pPr>
      <w:r>
        <w:t>3 Conceptual Model</w:t>
      </w:r>
    </w:p>
    <w:p w14:paraId="69C47A12" w14:textId="77777777" w:rsidR="00253F53" w:rsidRDefault="00253F53" w:rsidP="00253F53"/>
    <w:p w14:paraId="6A77B302" w14:textId="27F47F4D" w:rsidR="00253F53" w:rsidRDefault="00253F53" w:rsidP="00253F53">
      <w:r>
        <w:t xml:space="preserve">In our model of the consumer, they are a utility maximizing agent constrained by their budget, health and peers. Alcohol provides immediate utility from general enjoyment, the satisfaction of relieving stress, acquiescence to social pressure, and other such factors. Consumers balance this with the tradeoff from the disutility of the short and long health consequences as well as the potential social risks of drinking such as reduced inhibitions, amongst other costs. </w:t>
      </w:r>
    </w:p>
    <w:p w14:paraId="0D1B3E47" w14:textId="77777777" w:rsidR="00253F53" w:rsidRDefault="00253F53" w:rsidP="00253F53"/>
    <w:p w14:paraId="6930E881" w14:textId="2156775A" w:rsidR="00253F53" w:rsidRDefault="00253F53" w:rsidP="00253F53">
      <w:r>
        <w:t>As such, physician advice may be instrumental in allowing the consumer to reassess the health risks of alcohol consumption as much higher than before</w:t>
      </w:r>
      <w:r w:rsidR="00EB2C14">
        <w:t xml:space="preserve"> (</w:t>
      </w:r>
      <w:proofErr w:type="spellStart"/>
      <w:r w:rsidR="00EB2C14">
        <w:t>Kenkel</w:t>
      </w:r>
      <w:proofErr w:type="spellEnd"/>
      <w:r w:rsidR="00EB2C14">
        <w:t xml:space="preserve"> DS, Terza JV. 2001)</w:t>
      </w:r>
      <w:r>
        <w:t xml:space="preserve">. Moreover, it helps provide a rationale that consumers can use to resist social pressures to drink, helping to reduce the disutility from failing to participate in social activities. It may also reduce the general enjoyment of drinking and change alcohol consumption from a stress-relieving mechanism to a stress-inducing mechanism as the physician advice acts as a persistent reminder of their moral and social failings. In totality, the consumer is expected to reduce their alcohol consumption as they adjust their drinking levels to reflect updated utility production parameters. </w:t>
      </w:r>
    </w:p>
    <w:p w14:paraId="14549E58" w14:textId="77777777" w:rsidR="00253F53" w:rsidRDefault="00253F53" w:rsidP="00253F53"/>
    <w:p w14:paraId="0D4B44A7" w14:textId="77777777" w:rsidR="00253F53" w:rsidRDefault="00253F53" w:rsidP="00253F53">
      <w:r>
        <w:lastRenderedPageBreak/>
        <w:t>In determining the effects of physician advice on alcohol consumption, it is necessary to control for socio-economic factors such as income, education and employment amongst other factors. We control for income as lower levels of income may decrease a person’s willingness to seek advice due to the need to spend the income on other goods/services. It may also increase a person’s willingness to drink so to ease the pressure of day to day life. Moreover, unemployment should be controlled for as the unemployed may tend to be demotivated and so less willing to seek and hence receive advice. They may also drink more due to an excess of time and demotivation to care about long-term health effects due to their present-grounding crisis of unemployment. Education is controlled for as people that are more educated may be more willing to seek advice due to a better understanding of the value of that advice, and they may drink less as they understand the health risks better.</w:t>
      </w:r>
    </w:p>
    <w:p w14:paraId="1B95745E" w14:textId="77777777" w:rsidR="00253F53" w:rsidRDefault="00253F53" w:rsidP="00253F53"/>
    <w:p w14:paraId="4F9DE861" w14:textId="77777777" w:rsidR="00253F53" w:rsidRDefault="00253F53" w:rsidP="00253F53">
      <w:r>
        <w:t>Finally, health factors must be controlled for as people with health conditions may be more likely to receive physician advice due to a potential heightened risk of excess alcohol consumption. Moreover, they may also be less likely to drink, due to this heightened risk.</w:t>
      </w:r>
    </w:p>
    <w:p w14:paraId="77E8ADD9" w14:textId="77777777" w:rsidR="00253F53" w:rsidRDefault="00253F53" w:rsidP="00253F53"/>
    <w:p w14:paraId="34624B27" w14:textId="77777777" w:rsidR="00253F53" w:rsidRDefault="00253F53" w:rsidP="00253F53">
      <w:r>
        <w:t>However, there are some elements in the demand function for alcohol that cannot be controlled for due to an absence of data/proxy variables. Hence, a potential source of problems lies in how physician advice may be correlated with the random error term, generating endogeneity issues within methods of estimation such as OLS.</w:t>
      </w:r>
    </w:p>
    <w:p w14:paraId="39E9F19B" w14:textId="77777777" w:rsidR="00253F53" w:rsidRDefault="00253F53" w:rsidP="00253F53"/>
    <w:p w14:paraId="4733EAEC" w14:textId="22DCC401" w:rsidR="001E1AEE" w:rsidRDefault="00253F53" w:rsidP="00F06938">
      <w:r>
        <w:t>As one example, it is plausible that physician advice may be correlated with a higher willingness to seek that advice from people who are more health conscientious, who simultaneously are less willing to drink for that same reason</w:t>
      </w:r>
      <w:r w:rsidR="00EB2C14">
        <w:t xml:space="preserve"> </w:t>
      </w:r>
      <w:r w:rsidR="00EB2C14">
        <w:t>(</w:t>
      </w:r>
      <w:proofErr w:type="spellStart"/>
      <w:r w:rsidR="00EB2C14">
        <w:t>Kenkel</w:t>
      </w:r>
      <w:proofErr w:type="spellEnd"/>
      <w:r w:rsidR="00EB2C14">
        <w:t xml:space="preserve"> DS, Terza JV. 2001)</w:t>
      </w:r>
      <w:r>
        <w:t>. We also note that peer pressure may cause people to drink more than they ordinarily would, and it may also be that same peer pressure that normalizes their levels of alcohol consumption such that they resist seeking and receiving advice.</w:t>
      </w:r>
    </w:p>
    <w:p w14:paraId="1B68E133" w14:textId="77777777" w:rsidR="000B3D51" w:rsidRPr="00F06938" w:rsidRDefault="000B3D51" w:rsidP="00F06938"/>
    <w:p w14:paraId="132BC95E" w14:textId="17234C8A" w:rsidR="001E1AEE" w:rsidRDefault="001E1AEE" w:rsidP="001E1AEE">
      <w:pPr>
        <w:pStyle w:val="Heading2"/>
      </w:pPr>
      <w:r>
        <w:t>4 Econometric Models</w:t>
      </w:r>
    </w:p>
    <w:p w14:paraId="76D4CA19" w14:textId="77777777" w:rsidR="00253F53" w:rsidRDefault="00253F53" w:rsidP="00253F53"/>
    <w:p w14:paraId="154EFAD1" w14:textId="3ADDDDEF" w:rsidR="00253F53" w:rsidRPr="00FF0A5B" w:rsidRDefault="00253F53" w:rsidP="00253F53">
      <w:bookmarkStart w:id="1" w:name="_Hlk56072441"/>
      <w:r w:rsidRPr="00FF0A5B">
        <w:t>Initially the simplest possible linear model:</w:t>
      </w:r>
      <m:oMath>
        <m:r>
          <w:rPr>
            <w:rFonts w:ascii="Cambria Math" w:hAnsi="Cambria Math"/>
          </w:rPr>
          <m:t xml:space="preserve"> Drinks =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Advice+ u</m:t>
        </m:r>
      </m:oMath>
      <w:r w:rsidRPr="00FF0A5B">
        <w:t xml:space="preserve"> is estimated using OLS in order to assess the correlation between Drinks and Advice, and so as to help in interpreting the effects of controlling for further variables</w:t>
      </w:r>
    </w:p>
    <w:p w14:paraId="11F8D861" w14:textId="77777777" w:rsidR="00253F53" w:rsidRPr="00FF0A5B" w:rsidRDefault="00253F53" w:rsidP="00253F53"/>
    <w:p w14:paraId="1291BA69" w14:textId="61C7E1A2" w:rsidR="00253F53" w:rsidRPr="00FF0A5B" w:rsidRDefault="00253F53" w:rsidP="00253F53">
      <w:r w:rsidRPr="00FF0A5B">
        <w:t xml:space="preserve">The main econometric model we will inspect is the linear model: </w:t>
      </w:r>
    </w:p>
    <w:p w14:paraId="7BA91852" w14:textId="6E8DCF95" w:rsidR="00253F53" w:rsidRPr="00FF0A5B" w:rsidRDefault="00253F53" w:rsidP="00253F53">
      <m:oMathPara>
        <m:oMath>
          <m:r>
            <w:rPr>
              <w:rFonts w:ascii="Cambria Math" w:hAnsi="Cambria Math"/>
            </w:rPr>
            <m:t xml:space="preserve">Drinks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Advice+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Hhrtcond + u  </m:t>
          </m:r>
        </m:oMath>
      </m:oMathPara>
    </w:p>
    <w:p w14:paraId="5161895B" w14:textId="25DF3636" w:rsidR="00C07E9E" w:rsidRPr="00FF0A5B" w:rsidRDefault="00C07E9E" w:rsidP="00253F53"/>
    <w:p w14:paraId="7F2F7A66" w14:textId="31C125C6" w:rsidR="00C07E9E" w:rsidRPr="00FF0A5B" w:rsidRDefault="00C07E9E" w:rsidP="00253F53">
      <w:r w:rsidRPr="00FF0A5B">
        <w:t>In this model and the model that follows, the socio-economic factors and health factor are controlled for due to the reasons posed in the theory. Some factors such as age or race are not included in the model as we do not believe that these factors affect levels of alcohol consumption, except possibly for the very old or insofar as race is correlated with some culture that prioritizes drinking.</w:t>
      </w:r>
    </w:p>
    <w:p w14:paraId="2116FB40" w14:textId="77777777" w:rsidR="00253F53" w:rsidRPr="00FF0A5B" w:rsidRDefault="00253F53" w:rsidP="00253F53"/>
    <w:p w14:paraId="09B18AAA" w14:textId="70D67048" w:rsidR="00253F53" w:rsidRPr="00FF0A5B" w:rsidRDefault="00253F53" w:rsidP="00253F53">
      <w:r w:rsidRPr="00FF0A5B">
        <w:t>The first way this model is estimated is through OLS. Here, the key assumption made is that the error term is uncorrelated with the explanatory variables, such that the zero conditional mean assumption holds</w:t>
      </w:r>
      <w:r w:rsidR="00F1734F">
        <w:t xml:space="preserve"> true </w:t>
      </w:r>
      <w:r w:rsidR="00F1734F">
        <w:t>(Woolridge JM. 2013)</w:t>
      </w:r>
      <w:r w:rsidRPr="00FF0A5B">
        <w:t xml:space="preserve">. </w:t>
      </w:r>
    </w:p>
    <w:p w14:paraId="7B214903" w14:textId="77777777" w:rsidR="00253F53" w:rsidRPr="00FF0A5B" w:rsidRDefault="00253F53" w:rsidP="00253F53"/>
    <w:p w14:paraId="46FAED34" w14:textId="6A5D9CED" w:rsidR="00253F53" w:rsidRPr="00FF0A5B" w:rsidRDefault="00253F53" w:rsidP="00253F53">
      <w:r w:rsidRPr="00FF0A5B">
        <w:t>This is likely false as the data does not contain observations regarding the influence of peer pressure in increasing the amount of alcohol consumed, as well as potentially reducing the rate at which advice is sought due to a normalization of the consumer’s alcoholic consumption levels. Moreover, it doesn’t take into account health conscientiousness, where people who are more concerned about health tend to seek advice more while simultaneously tending to drink less.</w:t>
      </w:r>
      <w:r w:rsidR="006111AF" w:rsidRPr="00FF0A5B">
        <w:t xml:space="preserve"> As such, there is the possibility that these effects are falsely attributed to physician advice.</w:t>
      </w:r>
    </w:p>
    <w:p w14:paraId="236ABA23" w14:textId="77777777" w:rsidR="00253F53" w:rsidRPr="00FF0A5B" w:rsidRDefault="00253F53" w:rsidP="00253F53"/>
    <w:p w14:paraId="58B81CE4" w14:textId="1168EF52" w:rsidR="00911282" w:rsidRPr="00FF0A5B" w:rsidRDefault="00253F53" w:rsidP="00253F53">
      <w:r w:rsidRPr="00FF0A5B">
        <w:t xml:space="preserve">There is also the possibility of measurement error within the model. Although there may be little measurement errors for those that haven’t drunk within the last two weeks, it is possible that people who receive advice tend to report drinking less than their true level due to </w:t>
      </w:r>
      <w:r w:rsidR="009751B9" w:rsidRPr="00FF0A5B">
        <w:t xml:space="preserve">a fear of being looked down upon, </w:t>
      </w:r>
      <w:r w:rsidRPr="00FF0A5B">
        <w:t xml:space="preserve">social stigma, shame, or other such factors. </w:t>
      </w:r>
      <w:r w:rsidR="005A05C9" w:rsidRPr="00FF0A5B">
        <w:t>Moreover, there is the issue of simultaneity</w:t>
      </w:r>
      <w:r w:rsidR="00911282" w:rsidRPr="00FF0A5B">
        <w:t>. It is extremely plausible that</w:t>
      </w:r>
      <m:oMath>
        <m:r>
          <w:rPr>
            <w:rFonts w:ascii="Cambria Math" w:hAnsi="Cambria Math"/>
          </w:rPr>
          <m:t xml:space="preserve"> Advice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Drinks +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Hlthins + u </m:t>
        </m:r>
      </m:oMath>
      <w:r w:rsidR="00911282" w:rsidRPr="00FF0A5B">
        <w:t xml:space="preserve"> for example, as people who drink more may be more likely to receive advice to pause drinking due to the higher-health concerns.</w:t>
      </w:r>
    </w:p>
    <w:p w14:paraId="7B07B8F1" w14:textId="77777777" w:rsidR="00253F53" w:rsidRPr="00FF0A5B" w:rsidRDefault="00253F53" w:rsidP="00253F53"/>
    <w:p w14:paraId="3D978189" w14:textId="277F8C1F" w:rsidR="00253F53" w:rsidRDefault="00253F53" w:rsidP="00253F53">
      <w:r w:rsidRPr="00FF0A5B">
        <w:t>As a result, it does not appear that the basic OLS model will be effective due to the presence of endogeneity. Still, we utilize it here as it serves as a linear approximation of the true model and is thus helpful in enabling comparisons to be made across models.</w:t>
      </w:r>
      <w:r w:rsidR="006111AF" w:rsidRPr="00FF0A5B">
        <w:t xml:space="preserve"> Moreover, if it does so happen that Advice is exogenous, then OLS will be consistent.</w:t>
      </w:r>
      <w:r w:rsidR="001D0AEF">
        <w:t xml:space="preserve"> We assume it is likely that the socio-economic factors and health factor chosen in the model are</w:t>
      </w:r>
      <w:r w:rsidR="007D56F5">
        <w:t xml:space="preserve"> minimally</w:t>
      </w:r>
      <w:r w:rsidR="001D0AEF">
        <w:t xml:space="preserve"> endogenous as they may be unrelated to peer pressure or health conscientiousness.</w:t>
      </w:r>
      <w:r w:rsidR="007D56F5">
        <w:t xml:space="preserve"> It may be strange to consider there to be little correlation with health conscientiousness, but seeking advice is a passive activity compared to say exercise, which would actually correlate with </w:t>
      </w:r>
      <w:proofErr w:type="spellStart"/>
      <w:r w:rsidR="007D56F5">
        <w:t>Hhrtcond</w:t>
      </w:r>
      <w:proofErr w:type="spellEnd"/>
      <w:r w:rsidR="007D56F5">
        <w:t xml:space="preserve"> for example.</w:t>
      </w:r>
    </w:p>
    <w:p w14:paraId="61FEB0EA" w14:textId="77777777" w:rsidR="001D0AEF" w:rsidRPr="00FF0A5B" w:rsidRDefault="001D0AEF" w:rsidP="00253F53"/>
    <w:p w14:paraId="01A8DF0B" w14:textId="2BD4C5B3" w:rsidR="00253F53" w:rsidRPr="00FF0A5B" w:rsidRDefault="00253F53" w:rsidP="00253F53">
      <w:r w:rsidRPr="00FF0A5B">
        <w:t xml:space="preserve">In an attempt to control for endogeneity, we again use the linear model, using </w:t>
      </w:r>
      <w:proofErr w:type="spellStart"/>
      <w:r w:rsidRPr="00FF0A5B">
        <w:t>Hlthins</w:t>
      </w:r>
      <w:proofErr w:type="spellEnd"/>
      <w:r w:rsidR="00FF0A5B" w:rsidRPr="00FF0A5B">
        <w:t xml:space="preserve"> and </w:t>
      </w:r>
      <w:r w:rsidR="00FF0A5B" w:rsidRPr="00FF0A5B">
        <w:t>Dr1</w:t>
      </w:r>
      <w:r w:rsidRPr="00FF0A5B">
        <w:t xml:space="preserve"> as the instrument</w:t>
      </w:r>
      <w:r w:rsidR="00FF0A5B" w:rsidRPr="00FF0A5B">
        <w:t>s</w:t>
      </w:r>
      <w:r w:rsidR="00DB5208" w:rsidRPr="00FF0A5B">
        <w:t xml:space="preserve">. </w:t>
      </w:r>
      <w:r w:rsidRPr="00FF0A5B">
        <w:t xml:space="preserve">Here, the model is estimated through 2SLS. The main assumption is that </w:t>
      </w:r>
      <w:proofErr w:type="spellStart"/>
      <w:r w:rsidRPr="00FF0A5B">
        <w:t>Hlthins</w:t>
      </w:r>
      <w:proofErr w:type="spellEnd"/>
      <w:r w:rsidRPr="00FF0A5B">
        <w:t xml:space="preserve"> is a valid instrumental variable. It should be uncorrelated with the error term as there should be no relation to the levels of peer-pressure an individual experiences. It should also not be correlated with health conscientiousness as health insurance is a form of risk-management where the insurance company charges different premiums based on a person’s level of health risk, and so the price discrimination balances out the correlation between health conscientiousness and better health.  </w:t>
      </w:r>
      <w:r w:rsidR="00C07E9E" w:rsidRPr="00FF0A5B">
        <w:t>It should also be uncorrelated with any measurement error.</w:t>
      </w:r>
      <w:r w:rsidR="00DB1CBD">
        <w:t xml:space="preserve"> </w:t>
      </w:r>
      <w:r w:rsidRPr="00FF0A5B">
        <w:t>Health insurance should also be correlated with advice negatively, as health insurance prices are generally discriminatory based on health status (lower for people in better health). As such, people who do not have health insurance are more likely to be in poor health, which would likely be correlated with requiring higher levels of advice. However, there is indeed the possibility that health insurance makes it easier to seek and receive advice, and so correlated positively. Still, we believe the negative correlation is stronger as the price discrimination affects all people that have health insurance.</w:t>
      </w:r>
    </w:p>
    <w:p w14:paraId="36FD2FA0" w14:textId="2A18DE6D" w:rsidR="006111AF" w:rsidRPr="00FF0A5B" w:rsidRDefault="006111AF" w:rsidP="00253F53"/>
    <w:p w14:paraId="1719B226" w14:textId="7C339262" w:rsidR="006111AF" w:rsidRPr="00FF0A5B" w:rsidRDefault="006111AF" w:rsidP="00253F53">
      <w:r w:rsidRPr="00FF0A5B">
        <w:t xml:space="preserve">We also </w:t>
      </w:r>
      <w:r w:rsidR="0042596B" w:rsidRPr="00FF0A5B">
        <w:t xml:space="preserve">assume that </w:t>
      </w:r>
      <w:r w:rsidR="00FF0A5B" w:rsidRPr="00FF0A5B">
        <w:t>D</w:t>
      </w:r>
      <w:r w:rsidR="0042596B" w:rsidRPr="00FF0A5B">
        <w:t>r1</w:t>
      </w:r>
      <w:r w:rsidR="00FF0A5B" w:rsidRPr="00FF0A5B">
        <w:t xml:space="preserve"> (whether a person sees the same doctor) is correlated with advice positively insofar</w:t>
      </w:r>
      <w:r w:rsidR="0042596B" w:rsidRPr="00FF0A5B">
        <w:t xml:space="preserve"> </w:t>
      </w:r>
      <w:r w:rsidR="00FF0A5B" w:rsidRPr="00FF0A5B">
        <w:t xml:space="preserve">as that when familiarity with a doctor is achieved, the doctor is more likely to give advice as they understand the patient’s situation better. It should also be uncorrelated with the error term as the choice of doctor is often forced on a patient due to either geographic or time constraints (the doctor may be seeing other patients) by the medical facility, so peer pressure, </w:t>
      </w:r>
      <w:r w:rsidR="00FF0A5B" w:rsidRPr="00FF0A5B">
        <w:lastRenderedPageBreak/>
        <w:t xml:space="preserve">health conscientiousness, </w:t>
      </w:r>
      <w:proofErr w:type="spellStart"/>
      <w:r w:rsidR="00FF0A5B" w:rsidRPr="00FF0A5B">
        <w:t>etc</w:t>
      </w:r>
      <w:proofErr w:type="spellEnd"/>
      <w:r w:rsidR="00FF0A5B" w:rsidRPr="00FF0A5B">
        <w:t xml:space="preserve"> are unrelated factors, and by similar reasoning it should not be correlated with drinking. </w:t>
      </w:r>
    </w:p>
    <w:p w14:paraId="4A3C3ECC" w14:textId="77777777" w:rsidR="00911282" w:rsidRPr="00FF0A5B" w:rsidRDefault="00911282" w:rsidP="00253F53"/>
    <w:p w14:paraId="468158F4" w14:textId="010CBCE1" w:rsidR="00253F53" w:rsidRPr="00FF0A5B" w:rsidRDefault="00253F53" w:rsidP="00253F53">
      <w:r w:rsidRPr="00FF0A5B">
        <w:t xml:space="preserve">Hence, the </w:t>
      </w:r>
      <w:r w:rsidR="00DC0FA8">
        <w:t>three</w:t>
      </w:r>
      <w:r w:rsidRPr="00FF0A5B">
        <w:t xml:space="preserve"> basic requirements for IV estimation are likely satisfied – that of instrument exogeneity</w:t>
      </w:r>
      <w:r w:rsidR="00DC0FA8">
        <w:t xml:space="preserve">, </w:t>
      </w:r>
      <w:r w:rsidRPr="00FF0A5B">
        <w:t>instrument relevance</w:t>
      </w:r>
      <w:r w:rsidR="00DC0FA8">
        <w:t xml:space="preserve"> and instrument exclusion</w:t>
      </w:r>
      <w:r w:rsidRPr="00FF0A5B">
        <w:t>.</w:t>
      </w:r>
    </w:p>
    <w:p w14:paraId="6B3E5CB4" w14:textId="77777777" w:rsidR="00253F53" w:rsidRPr="00FF0A5B" w:rsidRDefault="00253F53" w:rsidP="00253F53"/>
    <w:p w14:paraId="207703DD" w14:textId="0A4734D9" w:rsidR="00253F53" w:rsidRPr="00FF0A5B" w:rsidRDefault="00253F53" w:rsidP="00253F53">
      <w:r w:rsidRPr="00FF0A5B">
        <w:t>One problem with constructing alcohol demand as a linear model is that</w:t>
      </w:r>
      <w:r w:rsidR="00651006" w:rsidRPr="00FF0A5B">
        <w:t xml:space="preserve"> we assume that the dependent variable can </w:t>
      </w:r>
      <w:r w:rsidR="0060327A" w:rsidRPr="00FF0A5B">
        <w:t>be any real value</w:t>
      </w:r>
      <w:r w:rsidR="00651006" w:rsidRPr="00FF0A5B">
        <w:t>, and so</w:t>
      </w:r>
      <w:r w:rsidRPr="00FF0A5B">
        <w:t xml:space="preserve"> it gives no guarantees that the fitted values for “drinks” are non-negative, which may cause interpretation issues</w:t>
      </w:r>
      <w:r w:rsidR="00F1734F">
        <w:t xml:space="preserve"> </w:t>
      </w:r>
      <w:r w:rsidR="00F1734F">
        <w:t>(Woolridge JM. 2013)</w:t>
      </w:r>
      <w:r w:rsidRPr="00FF0A5B">
        <w:t>. Moreover, at the corner solution, there likely exists a large probability mass of zero drinks within the sample.</w:t>
      </w:r>
      <w:r w:rsidR="001D0AEF">
        <w:t xml:space="preserve"> </w:t>
      </w:r>
      <w:r w:rsidRPr="00FF0A5B">
        <w:t xml:space="preserve">In order to address this, a </w:t>
      </w:r>
      <w:r w:rsidR="005B3015">
        <w:t>t</w:t>
      </w:r>
      <w:r w:rsidRPr="00FF0A5B">
        <w:t>obit model is used where we find the observed response Drinks to be:</w:t>
      </w:r>
      <w:r w:rsidR="00911282" w:rsidRPr="00FF0A5B">
        <w:t xml:space="preserve"> </w:t>
      </w:r>
      <w:r w:rsidR="00FC4E27" w:rsidRPr="00FF0A5B">
        <w:t xml:space="preserve"> </w:t>
      </w:r>
      <m:oMath>
        <m:r>
          <w:rPr>
            <w:rFonts w:ascii="Cambria Math" w:hAnsi="Cambria Math"/>
          </w:rPr>
          <m:t>Drinks = max(</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+β</m:t>
            </m:r>
          </m:e>
          <m:sub>
            <m:r>
              <w:rPr>
                <w:rFonts w:ascii="Cambria Math" w:hAnsi="Cambria Math"/>
              </w:rPr>
              <m:t>1</m:t>
            </m:r>
          </m:sub>
        </m:sSub>
        <m:r>
          <w:rPr>
            <w:rFonts w:ascii="Cambria Math" w:hAnsi="Cambria Math"/>
          </w:rPr>
          <m:t>Advice+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Hhrtcond + u</m:t>
        </m:r>
        <m:r>
          <w:rPr>
            <w:rFonts w:ascii="Cambria Math" w:hAnsi="Cambria Math"/>
          </w:rPr>
          <m:t>, 0)</m:t>
        </m:r>
        <m:r>
          <w:rPr>
            <w:rFonts w:ascii="Cambria Math" w:hAnsi="Cambria Math"/>
          </w:rPr>
          <m:t xml:space="preserve">, , u ~ 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006111AF" w:rsidRPr="00FF0A5B">
        <w:t>. This constrains the dependent variable to be non-negative and helps to enable a non-linear interpretation around the corner solution.</w:t>
      </w:r>
    </w:p>
    <w:p w14:paraId="3E705AC8" w14:textId="77577A60" w:rsidR="00FF0A5B" w:rsidRPr="00FF0A5B" w:rsidRDefault="00FF0A5B" w:rsidP="00253F53"/>
    <w:p w14:paraId="47F83EB9" w14:textId="6E8614CF" w:rsidR="006608E9" w:rsidRPr="00FF0A5B" w:rsidRDefault="00FF0A5B" w:rsidP="00FF0A5B">
      <w:r w:rsidRPr="00FF0A5B">
        <w:t xml:space="preserve">However, for this to be consistent, we must assume that there is no endogeneity, which as explained in the OLS section is unlikely. Hence, </w:t>
      </w:r>
      <w:r w:rsidR="00651006" w:rsidRPr="00FF0A5B">
        <w:t>in order to correct for</w:t>
      </w:r>
      <w:r w:rsidR="006111AF" w:rsidRPr="00FF0A5B">
        <w:t xml:space="preserve"> it</w:t>
      </w:r>
      <w:r w:rsidR="00651006" w:rsidRPr="00FF0A5B">
        <w:t>,</w:t>
      </w:r>
      <w:r w:rsidR="006111AF" w:rsidRPr="00FF0A5B">
        <w:t xml:space="preserve"> </w:t>
      </w:r>
      <w:r w:rsidR="00651006" w:rsidRPr="00FF0A5B">
        <w:t xml:space="preserve">the control </w:t>
      </w:r>
      <w:r w:rsidR="00DB5208" w:rsidRPr="00FF0A5B">
        <w:t>function method</w:t>
      </w:r>
      <w:r w:rsidR="006111AF" w:rsidRPr="00FF0A5B">
        <w:t xml:space="preserve"> is used</w:t>
      </w:r>
      <w:r w:rsidR="00DB5208" w:rsidRPr="00FF0A5B">
        <w:t>.</w:t>
      </w:r>
      <w:r w:rsidR="0042596B" w:rsidRPr="00FF0A5B">
        <w:t xml:space="preserve"> </w:t>
      </w:r>
      <w:r w:rsidR="007A6C35" w:rsidRPr="00FF0A5B">
        <w:t xml:space="preserve">We use the </w:t>
      </w:r>
      <w:r w:rsidR="005B3015">
        <w:t>p</w:t>
      </w:r>
      <w:r w:rsidR="007A6C35" w:rsidRPr="00FF0A5B">
        <w:t xml:space="preserve">robit model </w:t>
      </w:r>
      <m:oMath>
        <m:r>
          <w:rPr>
            <w:rFonts w:ascii="Cambria Math" w:hAnsi="Cambria Math"/>
          </w:rPr>
          <m:t xml:space="preserve">P(Advice=1|z) = </m:t>
        </m:r>
        <m:nary>
          <m:naryPr>
            <m:limLoc m:val="subSup"/>
            <m:ctrlPr>
              <w:rPr>
                <w:rFonts w:ascii="Cambria Math" w:hAnsi="Cambria Math"/>
                <w:i/>
              </w:rPr>
            </m:ctrlPr>
          </m:naryPr>
          <m:sub>
            <m:r>
              <w:rPr>
                <w:rFonts w:ascii="Cambria Math" w:hAnsi="Cambria Math"/>
              </w:rPr>
              <m:t>-∞</m:t>
            </m:r>
          </m:sub>
          <m:sup>
            <m:r>
              <w:rPr>
                <w:rFonts w:ascii="Cambria Math" w:hAnsi="Cambria Math"/>
              </w:rPr>
              <m:t>z</m:t>
            </m:r>
          </m:sup>
          <m:e>
            <m:sSup>
              <m:sSupPr>
                <m:ctrlPr>
                  <w:rPr>
                    <w:rFonts w:ascii="Cambria Math" w:hAnsi="Cambria Math"/>
                    <w:i/>
                  </w:rPr>
                </m:ctrlPr>
              </m:sSupPr>
              <m:e>
                <m:r>
                  <w:rPr>
                    <w:rFonts w:ascii="Cambria Math" w:hAnsi="Cambria Math"/>
                  </w:rPr>
                  <m:t>(2π)</m:t>
                </m:r>
              </m:e>
              <m:sup>
                <m:r>
                  <w:rPr>
                    <w:rFonts w:ascii="Cambria Math" w:hAnsi="Cambria Math"/>
                  </w:rPr>
                  <m:t>-1/2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sup>
            </m:sSup>
            <m:r>
              <w:rPr>
                <w:rFonts w:ascii="Cambria Math" w:hAnsi="Cambria Math"/>
              </w:rPr>
              <m:t xml:space="preserve"> dv</m:t>
            </m:r>
          </m:e>
        </m:nary>
      </m:oMath>
      <w:r w:rsidR="007A6C35" w:rsidRPr="00FF0A5B">
        <w:t xml:space="preserve"> , where </w:t>
      </w:r>
      <m:oMath>
        <m:r>
          <w:rPr>
            <w:rFonts w:ascii="Cambria Math" w:hAnsi="Cambria Math"/>
          </w:rPr>
          <m:t>z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Hhrtcond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Hlthins </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Dr1</m:t>
        </m:r>
        <m:r>
          <w:rPr>
            <w:rFonts w:ascii="Cambria Math" w:hAnsi="Cambria Math"/>
          </w:rPr>
          <m:t xml:space="preserve"> </m:t>
        </m:r>
        <m:r>
          <w:rPr>
            <w:rFonts w:ascii="Cambria Math" w:hAnsi="Cambria Math"/>
          </w:rPr>
          <m:t xml:space="preserve">+v </m:t>
        </m:r>
      </m:oMath>
      <w:r w:rsidR="00EE511E" w:rsidRPr="00FF0A5B">
        <w:t xml:space="preserve"> to estimate the residual</w:t>
      </w:r>
      <w:r w:rsidR="006608E9" w:rsidRPr="00FF0A5B">
        <w:t xml:space="preserve"> </w:t>
      </w:r>
      <m:oMath>
        <m:acc>
          <m:accPr>
            <m:ctrlPr>
              <w:rPr>
                <w:rFonts w:ascii="Cambria Math" w:hAnsi="Cambria Math"/>
                <w:i/>
              </w:rPr>
            </m:ctrlPr>
          </m:accPr>
          <m:e>
            <m:r>
              <w:rPr>
                <w:rFonts w:ascii="Cambria Math" w:hAnsi="Cambria Math"/>
              </w:rPr>
              <m:t>v</m:t>
            </m:r>
          </m:e>
        </m:acc>
      </m:oMath>
      <w:r w:rsidR="00FC4E27" w:rsidRPr="00FF0A5B">
        <w:t xml:space="preserve"> , which </w:t>
      </w:r>
      <w:r w:rsidR="0042596B" w:rsidRPr="00FF0A5B">
        <w:t>may estimate</w:t>
      </w:r>
      <w:r w:rsidR="00EE511E" w:rsidRPr="00FF0A5B">
        <w:t xml:space="preserve"> Advice</w:t>
      </w:r>
      <w:r w:rsidR="006608E9" w:rsidRPr="00FF0A5B">
        <w:t xml:space="preserve"> be</w:t>
      </w:r>
      <w:r w:rsidR="0042596B" w:rsidRPr="00FF0A5B">
        <w:t>tter by</w:t>
      </w:r>
      <w:r w:rsidR="006608E9" w:rsidRPr="00FF0A5B">
        <w:t xml:space="preserve"> constrain</w:t>
      </w:r>
      <w:r w:rsidR="0042596B" w:rsidRPr="00FF0A5B">
        <w:t>ing it</w:t>
      </w:r>
      <w:r w:rsidR="006608E9" w:rsidRPr="00FF0A5B">
        <w:t xml:space="preserve"> </w:t>
      </w:r>
      <w:r w:rsidR="0042596B" w:rsidRPr="00FF0A5B">
        <w:t>with</w:t>
      </w:r>
      <w:r w:rsidR="006608E9" w:rsidRPr="00FF0A5B">
        <w:t>in the interval [0, 1].</w:t>
      </w:r>
      <w:r w:rsidR="00FC4E27" w:rsidRPr="00FF0A5B">
        <w:t xml:space="preserve"> Then, </w:t>
      </w:r>
      <w:r w:rsidR="0042596B" w:rsidRPr="00FF0A5B">
        <w:t xml:space="preserve">estimating </w:t>
      </w:r>
      <w:r w:rsidR="00FC4E27" w:rsidRPr="00FF0A5B">
        <w:t xml:space="preserve">the </w:t>
      </w:r>
      <w:r w:rsidR="005B3015">
        <w:t>t</w:t>
      </w:r>
      <w:r w:rsidR="00FC4E27" w:rsidRPr="00FF0A5B">
        <w:t xml:space="preserve">obit model </w:t>
      </w:r>
      <m:oMath>
        <m:r>
          <w:rPr>
            <w:rFonts w:ascii="Cambria Math" w:hAnsi="Cambria Math"/>
          </w:rPr>
          <m:t>Drinks =max(</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+β</m:t>
            </m:r>
          </m:e>
          <m:sub>
            <m:r>
              <w:rPr>
                <w:rFonts w:ascii="Cambria Math" w:hAnsi="Cambria Math"/>
              </w:rPr>
              <m:t>1</m:t>
            </m:r>
          </m:sub>
        </m:sSub>
        <m:r>
          <w:rPr>
            <w:rFonts w:ascii="Cambria Math" w:hAnsi="Cambria Math"/>
          </w:rPr>
          <m:t>Advice+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Hhrtcond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Dr1 </m:t>
        </m:r>
        <m:r>
          <w:rPr>
            <w:rFonts w:ascii="Cambria Math" w:hAnsi="Cambria Math"/>
          </w:rPr>
          <m:t>+</m:t>
        </m:r>
        <m:r>
          <w:rPr>
            <w:rFonts w:ascii="Cambria Math" w:hAnsi="Cambria Math"/>
          </w:rPr>
          <m:t xml:space="preserve"> θ</m:t>
        </m:r>
        <m:acc>
          <m:accPr>
            <m:ctrlPr>
              <w:rPr>
                <w:rFonts w:ascii="Cambria Math" w:hAnsi="Cambria Math"/>
                <w:i/>
              </w:rPr>
            </m:ctrlPr>
          </m:accPr>
          <m:e>
            <m:r>
              <w:rPr>
                <w:rFonts w:ascii="Cambria Math" w:hAnsi="Cambria Math"/>
              </w:rPr>
              <m:t>v</m:t>
            </m:r>
          </m:e>
        </m:acc>
        <m:r>
          <m:rPr>
            <m:sty m:val="p"/>
          </m:rPr>
          <w:rPr>
            <w:rFonts w:ascii="Cambria Math" w:hAnsi="Cambria Math"/>
          </w:rPr>
          <m:t xml:space="preserve"> </m:t>
        </m:r>
        <m:r>
          <w:rPr>
            <w:rFonts w:ascii="Cambria Math" w:hAnsi="Cambria Math"/>
          </w:rPr>
          <m:t xml:space="preserve">+u, 0), u ~ 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C07E9E" w:rsidRPr="00FF0A5B">
        <w:t xml:space="preserve">, allows the coefficients to be consistently estimated </w:t>
      </w:r>
      <w:r w:rsidR="001D0AEF">
        <w:t>if the model is correct</w:t>
      </w:r>
    </w:p>
    <w:p w14:paraId="0AF6A0F2" w14:textId="5CD7638F" w:rsidR="00EB2C14" w:rsidRDefault="00FC4E27" w:rsidP="00FF0A5B">
      <w:pPr>
        <w:spacing w:before="120" w:after="120" w:line="276" w:lineRule="auto"/>
      </w:pPr>
      <w:r w:rsidRPr="00FF0A5B">
        <w:t>However</w:t>
      </w:r>
      <w:r w:rsidR="006608E9" w:rsidRPr="00FF0A5B">
        <w:t xml:space="preserve">, that the standard errors from the Tobit model estimation are incorrect as they are based on the </w:t>
      </w:r>
      <w:r w:rsidR="005B3015">
        <w:t>p</w:t>
      </w:r>
      <w:r w:rsidR="006608E9" w:rsidRPr="00FF0A5B">
        <w:t>robit model estimates. We assume that they are good approximations for the correct standard error</w:t>
      </w:r>
      <w:r w:rsidRPr="00FF0A5B">
        <w:t>, but this is nevertheless an issue</w:t>
      </w:r>
      <w:r w:rsidR="006608E9" w:rsidRPr="00FF0A5B">
        <w:t>.</w:t>
      </w:r>
      <w:bookmarkEnd w:id="1"/>
    </w:p>
    <w:p w14:paraId="376CA7ED" w14:textId="2B95F51A" w:rsidR="00253F53" w:rsidRDefault="001E1AEE" w:rsidP="00F06938">
      <w:pPr>
        <w:pStyle w:val="Heading2"/>
      </w:pPr>
      <w:r>
        <w:t>5 Empirical Results</w:t>
      </w:r>
    </w:p>
    <w:p w14:paraId="324D9C92" w14:textId="77777777" w:rsidR="00F06938" w:rsidRDefault="00F06938" w:rsidP="00253F53"/>
    <w:p w14:paraId="3483BC17" w14:textId="02B3443D" w:rsidR="00253F53" w:rsidRDefault="00253F53" w:rsidP="00253F53">
      <w:r>
        <w:t xml:space="preserve">Here, we present the estimation results for our empirical models, with coefficients estimated using OLS, 2SLS, a basic tobit model and a tobit model that </w:t>
      </w:r>
      <w:r w:rsidR="006D715E">
        <w:t>utilizes</w:t>
      </w:r>
      <w:r>
        <w:t xml:space="preserve"> the control function method.</w:t>
      </w:r>
    </w:p>
    <w:p w14:paraId="3CD392E0" w14:textId="77777777" w:rsidR="00253F53" w:rsidRDefault="00253F53" w:rsidP="00253F53"/>
    <w:tbl>
      <w:tblPr>
        <w:tblW w:w="10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62"/>
        <w:gridCol w:w="992"/>
        <w:gridCol w:w="3402"/>
        <w:gridCol w:w="993"/>
        <w:gridCol w:w="1984"/>
      </w:tblGrid>
      <w:tr w:rsidR="00253F53" w14:paraId="4F5E3A29" w14:textId="77777777" w:rsidTr="006E16F9">
        <w:tc>
          <w:tcPr>
            <w:tcW w:w="1515" w:type="dxa"/>
            <w:shd w:val="clear" w:color="auto" w:fill="auto"/>
            <w:tcMar>
              <w:top w:w="100" w:type="dxa"/>
              <w:left w:w="100" w:type="dxa"/>
              <w:bottom w:w="100" w:type="dxa"/>
              <w:right w:w="100" w:type="dxa"/>
            </w:tcMar>
          </w:tcPr>
          <w:p w14:paraId="1BB67105" w14:textId="77777777" w:rsidR="00253F53" w:rsidRDefault="00253F53" w:rsidP="0042596B">
            <w:pPr>
              <w:widowControl w:val="0"/>
              <w:pBdr>
                <w:top w:val="nil"/>
                <w:left w:val="nil"/>
                <w:bottom w:val="nil"/>
                <w:right w:val="nil"/>
                <w:between w:val="nil"/>
              </w:pBdr>
            </w:pPr>
            <w:r>
              <w:t>Independent Variables</w:t>
            </w:r>
          </w:p>
        </w:tc>
        <w:tc>
          <w:tcPr>
            <w:tcW w:w="1562" w:type="dxa"/>
          </w:tcPr>
          <w:p w14:paraId="1A804639" w14:textId="09C2CF34" w:rsidR="00253F53" w:rsidRDefault="00253F53" w:rsidP="0042596B">
            <w:pPr>
              <w:widowControl w:val="0"/>
              <w:pBdr>
                <w:top w:val="nil"/>
                <w:left w:val="nil"/>
                <w:bottom w:val="nil"/>
                <w:right w:val="nil"/>
                <w:between w:val="nil"/>
              </w:pBdr>
            </w:pPr>
            <w:r>
              <w:t>Simple Model (OLS)</w:t>
            </w:r>
          </w:p>
        </w:tc>
        <w:tc>
          <w:tcPr>
            <w:tcW w:w="992" w:type="dxa"/>
            <w:shd w:val="clear" w:color="auto" w:fill="auto"/>
            <w:tcMar>
              <w:top w:w="100" w:type="dxa"/>
              <w:left w:w="100" w:type="dxa"/>
              <w:bottom w:w="100" w:type="dxa"/>
              <w:right w:w="100" w:type="dxa"/>
            </w:tcMar>
          </w:tcPr>
          <w:p w14:paraId="411A97E5" w14:textId="7AC60A26" w:rsidR="00253F53" w:rsidRDefault="00253F53" w:rsidP="0042596B">
            <w:pPr>
              <w:widowControl w:val="0"/>
              <w:pBdr>
                <w:top w:val="nil"/>
                <w:left w:val="nil"/>
                <w:bottom w:val="nil"/>
                <w:right w:val="nil"/>
                <w:between w:val="nil"/>
              </w:pBdr>
            </w:pPr>
            <w:r>
              <w:t>Linear (OLS)</w:t>
            </w:r>
          </w:p>
        </w:tc>
        <w:tc>
          <w:tcPr>
            <w:tcW w:w="3402" w:type="dxa"/>
            <w:shd w:val="clear" w:color="auto" w:fill="auto"/>
            <w:tcMar>
              <w:top w:w="100" w:type="dxa"/>
              <w:left w:w="100" w:type="dxa"/>
              <w:bottom w:w="100" w:type="dxa"/>
              <w:right w:w="100" w:type="dxa"/>
            </w:tcMar>
          </w:tcPr>
          <w:p w14:paraId="3442062E" w14:textId="10EA3236" w:rsidR="00253F53" w:rsidRDefault="00253F53" w:rsidP="0042596B">
            <w:pPr>
              <w:widowControl w:val="0"/>
              <w:pBdr>
                <w:top w:val="nil"/>
                <w:left w:val="nil"/>
                <w:bottom w:val="nil"/>
                <w:right w:val="nil"/>
                <w:between w:val="nil"/>
              </w:pBdr>
            </w:pPr>
            <w:r>
              <w:t>2SLS with instrumental variable for advice (</w:t>
            </w:r>
            <w:proofErr w:type="spellStart"/>
            <w:r>
              <w:t>hlthins</w:t>
            </w:r>
            <w:proofErr w:type="spellEnd"/>
            <w:r>
              <w:t>)</w:t>
            </w:r>
          </w:p>
        </w:tc>
        <w:tc>
          <w:tcPr>
            <w:tcW w:w="993" w:type="dxa"/>
            <w:shd w:val="clear" w:color="auto" w:fill="auto"/>
            <w:tcMar>
              <w:top w:w="100" w:type="dxa"/>
              <w:left w:w="100" w:type="dxa"/>
              <w:bottom w:w="100" w:type="dxa"/>
              <w:right w:w="100" w:type="dxa"/>
            </w:tcMar>
          </w:tcPr>
          <w:p w14:paraId="63F3F251" w14:textId="77777777" w:rsidR="00253F53" w:rsidRDefault="00253F53" w:rsidP="0042596B">
            <w:pPr>
              <w:widowControl w:val="0"/>
              <w:pBdr>
                <w:top w:val="nil"/>
                <w:left w:val="nil"/>
                <w:bottom w:val="nil"/>
                <w:right w:val="nil"/>
                <w:between w:val="nil"/>
              </w:pBdr>
            </w:pPr>
            <w:r>
              <w:t>Tobit</w:t>
            </w:r>
          </w:p>
        </w:tc>
        <w:tc>
          <w:tcPr>
            <w:tcW w:w="1984" w:type="dxa"/>
          </w:tcPr>
          <w:p w14:paraId="20A404F0" w14:textId="77777777" w:rsidR="00253F53" w:rsidRDefault="00253F53" w:rsidP="0042596B">
            <w:pPr>
              <w:widowControl w:val="0"/>
              <w:pBdr>
                <w:top w:val="nil"/>
                <w:left w:val="nil"/>
                <w:bottom w:val="nil"/>
                <w:right w:val="nil"/>
                <w:between w:val="nil"/>
              </w:pBdr>
            </w:pPr>
            <w:r>
              <w:t>Tobit with control function method</w:t>
            </w:r>
          </w:p>
        </w:tc>
      </w:tr>
      <w:tr w:rsidR="00A6084A" w14:paraId="29FA9620" w14:textId="77777777" w:rsidTr="006E16F9">
        <w:tc>
          <w:tcPr>
            <w:tcW w:w="1515" w:type="dxa"/>
            <w:shd w:val="clear" w:color="auto" w:fill="auto"/>
            <w:tcMar>
              <w:top w:w="100" w:type="dxa"/>
              <w:left w:w="100" w:type="dxa"/>
              <w:bottom w:w="100" w:type="dxa"/>
              <w:right w:w="100" w:type="dxa"/>
            </w:tcMar>
          </w:tcPr>
          <w:p w14:paraId="6CEA21F7" w14:textId="77777777" w:rsidR="00A6084A" w:rsidRDefault="00A6084A" w:rsidP="00A6084A">
            <w:pPr>
              <w:widowControl w:val="0"/>
              <w:pBdr>
                <w:top w:val="nil"/>
                <w:left w:val="nil"/>
                <w:bottom w:val="nil"/>
                <w:right w:val="nil"/>
                <w:between w:val="nil"/>
              </w:pBdr>
            </w:pPr>
            <w:r>
              <w:t>Advice</w:t>
            </w:r>
          </w:p>
        </w:tc>
        <w:tc>
          <w:tcPr>
            <w:tcW w:w="1562" w:type="dxa"/>
          </w:tcPr>
          <w:p w14:paraId="595EEED7" w14:textId="77777777" w:rsidR="00A6084A" w:rsidRDefault="00A6084A" w:rsidP="00A6084A">
            <w:pPr>
              <w:widowControl w:val="0"/>
              <w:pBdr>
                <w:top w:val="nil"/>
                <w:left w:val="nil"/>
                <w:bottom w:val="nil"/>
                <w:right w:val="nil"/>
                <w:between w:val="nil"/>
              </w:pBdr>
            </w:pPr>
            <w:r w:rsidRPr="00911282">
              <w:t>7.672</w:t>
            </w:r>
          </w:p>
          <w:p w14:paraId="5780C06F" w14:textId="43A29826" w:rsidR="00A6084A" w:rsidRDefault="00A6084A" w:rsidP="00A6084A">
            <w:pPr>
              <w:widowControl w:val="0"/>
              <w:pBdr>
                <w:top w:val="nil"/>
                <w:left w:val="nil"/>
                <w:bottom w:val="nil"/>
                <w:right w:val="nil"/>
                <w:between w:val="nil"/>
              </w:pBdr>
            </w:pPr>
            <w:r>
              <w:t>(1.010)</w:t>
            </w:r>
          </w:p>
        </w:tc>
        <w:tc>
          <w:tcPr>
            <w:tcW w:w="992" w:type="dxa"/>
            <w:shd w:val="clear" w:color="auto" w:fill="auto"/>
            <w:tcMar>
              <w:top w:w="100" w:type="dxa"/>
              <w:left w:w="100" w:type="dxa"/>
              <w:bottom w:w="100" w:type="dxa"/>
              <w:right w:w="100" w:type="dxa"/>
            </w:tcMar>
          </w:tcPr>
          <w:p w14:paraId="6D25F039" w14:textId="4612BA45" w:rsidR="00A6084A" w:rsidRDefault="00A6084A" w:rsidP="00A6084A">
            <w:pPr>
              <w:widowControl w:val="0"/>
              <w:pBdr>
                <w:top w:val="nil"/>
                <w:left w:val="nil"/>
                <w:bottom w:val="nil"/>
                <w:right w:val="nil"/>
                <w:between w:val="nil"/>
              </w:pBdr>
            </w:pPr>
            <w:r>
              <w:t>7.621</w:t>
            </w:r>
          </w:p>
          <w:p w14:paraId="637D9F55" w14:textId="77777777" w:rsidR="00A6084A" w:rsidRDefault="00A6084A" w:rsidP="00A6084A">
            <w:pPr>
              <w:widowControl w:val="0"/>
              <w:pBdr>
                <w:top w:val="nil"/>
                <w:left w:val="nil"/>
                <w:bottom w:val="nil"/>
                <w:right w:val="nil"/>
                <w:between w:val="nil"/>
              </w:pBdr>
            </w:pPr>
            <w:r>
              <w:t>(1.168)</w:t>
            </w:r>
          </w:p>
        </w:tc>
        <w:tc>
          <w:tcPr>
            <w:tcW w:w="3402" w:type="dxa"/>
            <w:shd w:val="clear" w:color="auto" w:fill="auto"/>
            <w:tcMar>
              <w:top w:w="100" w:type="dxa"/>
              <w:left w:w="100" w:type="dxa"/>
              <w:bottom w:w="100" w:type="dxa"/>
              <w:right w:w="100" w:type="dxa"/>
            </w:tcMar>
          </w:tcPr>
          <w:p w14:paraId="531CFC08" w14:textId="77777777" w:rsidR="00A6084A" w:rsidRDefault="00A6084A" w:rsidP="00A6084A">
            <w:pPr>
              <w:widowControl w:val="0"/>
              <w:pBdr>
                <w:top w:val="nil"/>
                <w:left w:val="nil"/>
                <w:bottom w:val="nil"/>
                <w:right w:val="nil"/>
                <w:between w:val="nil"/>
              </w:pBdr>
            </w:pPr>
            <w:r>
              <w:t>21.32</w:t>
            </w:r>
          </w:p>
          <w:p w14:paraId="422BFAEC" w14:textId="19FD9D65" w:rsidR="00A6084A" w:rsidRDefault="00A6084A" w:rsidP="00A6084A">
            <w:pPr>
              <w:widowControl w:val="0"/>
              <w:pBdr>
                <w:top w:val="nil"/>
                <w:left w:val="nil"/>
                <w:bottom w:val="nil"/>
                <w:right w:val="nil"/>
                <w:between w:val="nil"/>
              </w:pBdr>
            </w:pPr>
            <w:r>
              <w:t>(16.82)</w:t>
            </w:r>
          </w:p>
        </w:tc>
        <w:tc>
          <w:tcPr>
            <w:tcW w:w="993" w:type="dxa"/>
            <w:shd w:val="clear" w:color="auto" w:fill="auto"/>
            <w:tcMar>
              <w:top w:w="100" w:type="dxa"/>
              <w:left w:w="100" w:type="dxa"/>
              <w:bottom w:w="100" w:type="dxa"/>
              <w:right w:w="100" w:type="dxa"/>
            </w:tcMar>
          </w:tcPr>
          <w:p w14:paraId="2C46096D" w14:textId="77777777" w:rsidR="00A6084A" w:rsidRDefault="00A6084A" w:rsidP="00A6084A">
            <w:pPr>
              <w:widowControl w:val="0"/>
              <w:pBdr>
                <w:top w:val="nil"/>
                <w:left w:val="nil"/>
                <w:bottom w:val="nil"/>
                <w:right w:val="nil"/>
                <w:between w:val="nil"/>
              </w:pBdr>
            </w:pPr>
            <w:r>
              <w:t>9.515</w:t>
            </w:r>
          </w:p>
          <w:p w14:paraId="15E45E56" w14:textId="77777777" w:rsidR="00A6084A" w:rsidRDefault="00A6084A" w:rsidP="00A6084A">
            <w:pPr>
              <w:widowControl w:val="0"/>
              <w:pBdr>
                <w:top w:val="nil"/>
                <w:left w:val="nil"/>
                <w:bottom w:val="nil"/>
                <w:right w:val="nil"/>
                <w:between w:val="nil"/>
              </w:pBdr>
            </w:pPr>
            <w:r>
              <w:t>(1.370)</w:t>
            </w:r>
          </w:p>
        </w:tc>
        <w:tc>
          <w:tcPr>
            <w:tcW w:w="1984" w:type="dxa"/>
          </w:tcPr>
          <w:p w14:paraId="4696EBCB" w14:textId="77777777" w:rsidR="00A6084A" w:rsidRDefault="00A6084A" w:rsidP="00A6084A">
            <w:pPr>
              <w:widowControl w:val="0"/>
              <w:pBdr>
                <w:top w:val="nil"/>
                <w:left w:val="nil"/>
                <w:bottom w:val="nil"/>
                <w:right w:val="nil"/>
                <w:between w:val="nil"/>
              </w:pBdr>
            </w:pPr>
            <w:r>
              <w:t>19.20</w:t>
            </w:r>
          </w:p>
          <w:p w14:paraId="2C96A311" w14:textId="26E09D2B" w:rsidR="00A6084A" w:rsidRDefault="00A6084A" w:rsidP="00A6084A">
            <w:pPr>
              <w:widowControl w:val="0"/>
              <w:pBdr>
                <w:top w:val="nil"/>
                <w:left w:val="nil"/>
                <w:bottom w:val="nil"/>
                <w:right w:val="nil"/>
                <w:between w:val="nil"/>
              </w:pBdr>
            </w:pPr>
            <w:r>
              <w:t>(19.29)</w:t>
            </w:r>
          </w:p>
        </w:tc>
      </w:tr>
      <w:tr w:rsidR="00A6084A" w14:paraId="68F73B01" w14:textId="77777777" w:rsidTr="006E16F9">
        <w:tc>
          <w:tcPr>
            <w:tcW w:w="1515" w:type="dxa"/>
            <w:shd w:val="clear" w:color="auto" w:fill="auto"/>
            <w:tcMar>
              <w:top w:w="100" w:type="dxa"/>
              <w:left w:w="100" w:type="dxa"/>
              <w:bottom w:w="100" w:type="dxa"/>
              <w:right w:w="100" w:type="dxa"/>
            </w:tcMar>
          </w:tcPr>
          <w:p w14:paraId="0D5E0007" w14:textId="77777777" w:rsidR="00A6084A" w:rsidRDefault="00A6084A" w:rsidP="00A6084A">
            <w:pPr>
              <w:widowControl w:val="0"/>
              <w:pBdr>
                <w:top w:val="nil"/>
                <w:left w:val="nil"/>
                <w:bottom w:val="nil"/>
                <w:right w:val="nil"/>
                <w:between w:val="nil"/>
              </w:pBdr>
            </w:pPr>
            <w:proofErr w:type="spellStart"/>
            <w:r>
              <w:t>Editinc</w:t>
            </w:r>
            <w:proofErr w:type="spellEnd"/>
          </w:p>
        </w:tc>
        <w:tc>
          <w:tcPr>
            <w:tcW w:w="1562" w:type="dxa"/>
          </w:tcPr>
          <w:p w14:paraId="55D736A3" w14:textId="77777777" w:rsidR="00A6084A" w:rsidRDefault="00A6084A" w:rsidP="00A6084A">
            <w:pPr>
              <w:widowControl w:val="0"/>
              <w:pBdr>
                <w:top w:val="nil"/>
                <w:left w:val="nil"/>
                <w:bottom w:val="nil"/>
                <w:right w:val="nil"/>
                <w:between w:val="nil"/>
              </w:pBdr>
            </w:pPr>
          </w:p>
        </w:tc>
        <w:tc>
          <w:tcPr>
            <w:tcW w:w="992" w:type="dxa"/>
            <w:shd w:val="clear" w:color="auto" w:fill="auto"/>
            <w:tcMar>
              <w:top w:w="100" w:type="dxa"/>
              <w:left w:w="100" w:type="dxa"/>
              <w:bottom w:w="100" w:type="dxa"/>
              <w:right w:w="100" w:type="dxa"/>
            </w:tcMar>
          </w:tcPr>
          <w:p w14:paraId="6A33BB12" w14:textId="0163343A" w:rsidR="00A6084A" w:rsidRDefault="00A6084A" w:rsidP="00A6084A">
            <w:pPr>
              <w:widowControl w:val="0"/>
              <w:pBdr>
                <w:top w:val="nil"/>
                <w:left w:val="nil"/>
                <w:bottom w:val="nil"/>
                <w:right w:val="nil"/>
                <w:between w:val="nil"/>
              </w:pBdr>
            </w:pPr>
            <w:r>
              <w:t>0.094</w:t>
            </w:r>
          </w:p>
          <w:p w14:paraId="5D9C9A06" w14:textId="77777777" w:rsidR="00A6084A" w:rsidRDefault="00A6084A" w:rsidP="00A6084A">
            <w:pPr>
              <w:widowControl w:val="0"/>
              <w:pBdr>
                <w:top w:val="nil"/>
                <w:left w:val="nil"/>
                <w:bottom w:val="nil"/>
                <w:right w:val="nil"/>
                <w:between w:val="nil"/>
              </w:pBdr>
            </w:pPr>
            <w:r>
              <w:t>(0.062)</w:t>
            </w:r>
          </w:p>
        </w:tc>
        <w:tc>
          <w:tcPr>
            <w:tcW w:w="3402" w:type="dxa"/>
            <w:shd w:val="clear" w:color="auto" w:fill="auto"/>
            <w:tcMar>
              <w:top w:w="100" w:type="dxa"/>
              <w:left w:w="100" w:type="dxa"/>
              <w:bottom w:w="100" w:type="dxa"/>
              <w:right w:w="100" w:type="dxa"/>
            </w:tcMar>
          </w:tcPr>
          <w:p w14:paraId="318BF80B" w14:textId="77777777" w:rsidR="00A6084A" w:rsidRDefault="00A6084A" w:rsidP="00A6084A">
            <w:pPr>
              <w:widowControl w:val="0"/>
              <w:pBdr>
                <w:top w:val="nil"/>
                <w:left w:val="nil"/>
                <w:bottom w:val="nil"/>
                <w:right w:val="nil"/>
                <w:between w:val="nil"/>
              </w:pBdr>
            </w:pPr>
            <w:r>
              <w:t>0.108</w:t>
            </w:r>
          </w:p>
          <w:p w14:paraId="7DA63650" w14:textId="61B79B5B" w:rsidR="00A6084A" w:rsidRDefault="00A6084A" w:rsidP="00A6084A">
            <w:pPr>
              <w:widowControl w:val="0"/>
              <w:pBdr>
                <w:top w:val="nil"/>
                <w:left w:val="nil"/>
                <w:bottom w:val="nil"/>
                <w:right w:val="nil"/>
                <w:between w:val="nil"/>
              </w:pBdr>
            </w:pPr>
            <w:r>
              <w:t>(0.067)</w:t>
            </w:r>
          </w:p>
        </w:tc>
        <w:tc>
          <w:tcPr>
            <w:tcW w:w="993" w:type="dxa"/>
            <w:shd w:val="clear" w:color="auto" w:fill="auto"/>
            <w:tcMar>
              <w:top w:w="100" w:type="dxa"/>
              <w:left w:w="100" w:type="dxa"/>
              <w:bottom w:w="100" w:type="dxa"/>
              <w:right w:w="100" w:type="dxa"/>
            </w:tcMar>
          </w:tcPr>
          <w:p w14:paraId="6C7E8F6C" w14:textId="77777777" w:rsidR="00A6084A" w:rsidRDefault="00A6084A" w:rsidP="00A6084A">
            <w:pPr>
              <w:widowControl w:val="0"/>
              <w:pBdr>
                <w:top w:val="nil"/>
                <w:left w:val="nil"/>
                <w:bottom w:val="nil"/>
                <w:right w:val="nil"/>
                <w:between w:val="nil"/>
              </w:pBdr>
            </w:pPr>
            <w:r>
              <w:t>0.133</w:t>
            </w:r>
          </w:p>
          <w:p w14:paraId="4E5125E2" w14:textId="77777777" w:rsidR="00A6084A" w:rsidRDefault="00A6084A" w:rsidP="00A6084A">
            <w:pPr>
              <w:widowControl w:val="0"/>
              <w:pBdr>
                <w:top w:val="nil"/>
                <w:left w:val="nil"/>
                <w:bottom w:val="nil"/>
                <w:right w:val="nil"/>
                <w:between w:val="nil"/>
              </w:pBdr>
            </w:pPr>
            <w:r>
              <w:t>(0.088)</w:t>
            </w:r>
          </w:p>
        </w:tc>
        <w:tc>
          <w:tcPr>
            <w:tcW w:w="1984" w:type="dxa"/>
          </w:tcPr>
          <w:p w14:paraId="11FA4CF8" w14:textId="77777777" w:rsidR="00A6084A" w:rsidRDefault="00A6084A" w:rsidP="00A6084A">
            <w:pPr>
              <w:widowControl w:val="0"/>
              <w:pBdr>
                <w:top w:val="nil"/>
                <w:left w:val="nil"/>
                <w:bottom w:val="nil"/>
                <w:right w:val="nil"/>
                <w:between w:val="nil"/>
              </w:pBdr>
            </w:pPr>
            <w:r>
              <w:t>0.142</w:t>
            </w:r>
          </w:p>
          <w:p w14:paraId="6C2F2DA6" w14:textId="4A679179" w:rsidR="00A6084A" w:rsidRDefault="00A6084A" w:rsidP="00A6084A">
            <w:pPr>
              <w:widowControl w:val="0"/>
              <w:pBdr>
                <w:top w:val="nil"/>
                <w:left w:val="nil"/>
                <w:bottom w:val="nil"/>
                <w:right w:val="nil"/>
                <w:between w:val="nil"/>
              </w:pBdr>
            </w:pPr>
            <w:r>
              <w:t>(0.089)</w:t>
            </w:r>
          </w:p>
        </w:tc>
      </w:tr>
      <w:tr w:rsidR="00A6084A" w14:paraId="796F391E" w14:textId="77777777" w:rsidTr="006E16F9">
        <w:tc>
          <w:tcPr>
            <w:tcW w:w="1515" w:type="dxa"/>
            <w:shd w:val="clear" w:color="auto" w:fill="auto"/>
            <w:tcMar>
              <w:top w:w="100" w:type="dxa"/>
              <w:left w:w="100" w:type="dxa"/>
              <w:bottom w:w="100" w:type="dxa"/>
              <w:right w:w="100" w:type="dxa"/>
            </w:tcMar>
          </w:tcPr>
          <w:p w14:paraId="6F9F7F62" w14:textId="77777777" w:rsidR="00A6084A" w:rsidRDefault="00A6084A" w:rsidP="00A6084A">
            <w:pPr>
              <w:widowControl w:val="0"/>
            </w:pPr>
            <w:proofErr w:type="spellStart"/>
            <w:r>
              <w:t>Unemploy</w:t>
            </w:r>
            <w:proofErr w:type="spellEnd"/>
          </w:p>
        </w:tc>
        <w:tc>
          <w:tcPr>
            <w:tcW w:w="1562" w:type="dxa"/>
          </w:tcPr>
          <w:p w14:paraId="15230E65" w14:textId="77777777" w:rsidR="00A6084A" w:rsidRDefault="00A6084A" w:rsidP="00A6084A">
            <w:pPr>
              <w:widowControl w:val="0"/>
              <w:pBdr>
                <w:top w:val="nil"/>
                <w:left w:val="nil"/>
                <w:bottom w:val="nil"/>
                <w:right w:val="nil"/>
                <w:between w:val="nil"/>
              </w:pBdr>
            </w:pPr>
          </w:p>
        </w:tc>
        <w:tc>
          <w:tcPr>
            <w:tcW w:w="992" w:type="dxa"/>
            <w:shd w:val="clear" w:color="auto" w:fill="auto"/>
            <w:tcMar>
              <w:top w:w="100" w:type="dxa"/>
              <w:left w:w="100" w:type="dxa"/>
              <w:bottom w:w="100" w:type="dxa"/>
              <w:right w:w="100" w:type="dxa"/>
            </w:tcMar>
          </w:tcPr>
          <w:p w14:paraId="54E6D3A1" w14:textId="3C57F371" w:rsidR="00A6084A" w:rsidRDefault="00A6084A" w:rsidP="00A6084A">
            <w:pPr>
              <w:widowControl w:val="0"/>
              <w:pBdr>
                <w:top w:val="nil"/>
                <w:left w:val="nil"/>
                <w:bottom w:val="nil"/>
                <w:right w:val="nil"/>
                <w:between w:val="nil"/>
              </w:pBdr>
            </w:pPr>
            <w:r>
              <w:t>9.480</w:t>
            </w:r>
          </w:p>
          <w:p w14:paraId="3651993C" w14:textId="77777777" w:rsidR="00A6084A" w:rsidRDefault="00A6084A" w:rsidP="00A6084A">
            <w:pPr>
              <w:widowControl w:val="0"/>
              <w:pBdr>
                <w:top w:val="nil"/>
                <w:left w:val="nil"/>
                <w:bottom w:val="nil"/>
                <w:right w:val="nil"/>
                <w:between w:val="nil"/>
              </w:pBdr>
            </w:pPr>
            <w:r>
              <w:t>(4.539)</w:t>
            </w:r>
          </w:p>
        </w:tc>
        <w:tc>
          <w:tcPr>
            <w:tcW w:w="3402" w:type="dxa"/>
            <w:shd w:val="clear" w:color="auto" w:fill="auto"/>
            <w:tcMar>
              <w:top w:w="100" w:type="dxa"/>
              <w:left w:w="100" w:type="dxa"/>
              <w:bottom w:w="100" w:type="dxa"/>
              <w:right w:w="100" w:type="dxa"/>
            </w:tcMar>
          </w:tcPr>
          <w:p w14:paraId="5BCFD856" w14:textId="77777777" w:rsidR="00A6084A" w:rsidRDefault="00A6084A" w:rsidP="00A6084A">
            <w:pPr>
              <w:widowControl w:val="0"/>
              <w:pBdr>
                <w:top w:val="nil"/>
                <w:left w:val="nil"/>
                <w:bottom w:val="nil"/>
                <w:right w:val="nil"/>
                <w:between w:val="nil"/>
              </w:pBdr>
            </w:pPr>
            <w:r>
              <w:t>8.465</w:t>
            </w:r>
          </w:p>
          <w:p w14:paraId="3BFE8FA3" w14:textId="4FAB32C2" w:rsidR="00A6084A" w:rsidRDefault="00A6084A" w:rsidP="00A6084A">
            <w:pPr>
              <w:widowControl w:val="0"/>
              <w:pBdr>
                <w:top w:val="nil"/>
                <w:left w:val="nil"/>
                <w:bottom w:val="nil"/>
                <w:right w:val="nil"/>
                <w:between w:val="nil"/>
              </w:pBdr>
            </w:pPr>
            <w:r>
              <w:t>(4.872)</w:t>
            </w:r>
          </w:p>
        </w:tc>
        <w:tc>
          <w:tcPr>
            <w:tcW w:w="993" w:type="dxa"/>
            <w:shd w:val="clear" w:color="auto" w:fill="auto"/>
            <w:tcMar>
              <w:top w:w="100" w:type="dxa"/>
              <w:left w:w="100" w:type="dxa"/>
              <w:bottom w:w="100" w:type="dxa"/>
              <w:right w:w="100" w:type="dxa"/>
            </w:tcMar>
          </w:tcPr>
          <w:p w14:paraId="2FD92C6B" w14:textId="77777777" w:rsidR="00A6084A" w:rsidRDefault="00A6084A" w:rsidP="00A6084A">
            <w:pPr>
              <w:widowControl w:val="0"/>
              <w:pBdr>
                <w:top w:val="nil"/>
                <w:left w:val="nil"/>
                <w:bottom w:val="nil"/>
                <w:right w:val="nil"/>
                <w:between w:val="nil"/>
              </w:pBdr>
            </w:pPr>
            <w:r>
              <w:t>10.85</w:t>
            </w:r>
          </w:p>
          <w:p w14:paraId="3989D44C" w14:textId="77777777" w:rsidR="00A6084A" w:rsidRDefault="00A6084A" w:rsidP="00A6084A">
            <w:pPr>
              <w:widowControl w:val="0"/>
              <w:pBdr>
                <w:top w:val="nil"/>
                <w:left w:val="nil"/>
                <w:bottom w:val="nil"/>
                <w:right w:val="nil"/>
                <w:between w:val="nil"/>
              </w:pBdr>
            </w:pPr>
            <w:r>
              <w:t>(4.969)</w:t>
            </w:r>
          </w:p>
        </w:tc>
        <w:tc>
          <w:tcPr>
            <w:tcW w:w="1984" w:type="dxa"/>
          </w:tcPr>
          <w:p w14:paraId="02449E76" w14:textId="77777777" w:rsidR="00A6084A" w:rsidRDefault="00A6084A" w:rsidP="00A6084A">
            <w:pPr>
              <w:widowControl w:val="0"/>
              <w:pBdr>
                <w:top w:val="nil"/>
                <w:left w:val="nil"/>
                <w:bottom w:val="nil"/>
                <w:right w:val="nil"/>
                <w:between w:val="nil"/>
              </w:pBdr>
            </w:pPr>
            <w:r>
              <w:t>10.13</w:t>
            </w:r>
          </w:p>
          <w:p w14:paraId="240F48F9" w14:textId="1D7FBDA1" w:rsidR="00A6084A" w:rsidRDefault="00A6084A" w:rsidP="00A6084A">
            <w:pPr>
              <w:widowControl w:val="0"/>
              <w:pBdr>
                <w:top w:val="nil"/>
                <w:left w:val="nil"/>
                <w:bottom w:val="nil"/>
                <w:right w:val="nil"/>
                <w:between w:val="nil"/>
              </w:pBdr>
            </w:pPr>
            <w:r>
              <w:t>(5.28)</w:t>
            </w:r>
          </w:p>
        </w:tc>
      </w:tr>
      <w:tr w:rsidR="00A6084A" w14:paraId="44DF298A" w14:textId="77777777" w:rsidTr="006E16F9">
        <w:tc>
          <w:tcPr>
            <w:tcW w:w="1515" w:type="dxa"/>
            <w:shd w:val="clear" w:color="auto" w:fill="auto"/>
            <w:tcMar>
              <w:top w:w="100" w:type="dxa"/>
              <w:left w:w="100" w:type="dxa"/>
              <w:bottom w:w="100" w:type="dxa"/>
              <w:right w:w="100" w:type="dxa"/>
            </w:tcMar>
          </w:tcPr>
          <w:p w14:paraId="3AEF2ABC" w14:textId="77777777" w:rsidR="00A6084A" w:rsidRDefault="00A6084A" w:rsidP="00A6084A">
            <w:pPr>
              <w:widowControl w:val="0"/>
              <w:pBdr>
                <w:top w:val="nil"/>
                <w:left w:val="nil"/>
                <w:bottom w:val="nil"/>
                <w:right w:val="nil"/>
                <w:between w:val="nil"/>
              </w:pBdr>
            </w:pPr>
            <w:r>
              <w:t>Educ</w:t>
            </w:r>
          </w:p>
        </w:tc>
        <w:tc>
          <w:tcPr>
            <w:tcW w:w="1562" w:type="dxa"/>
          </w:tcPr>
          <w:p w14:paraId="02B31515" w14:textId="77777777" w:rsidR="00A6084A" w:rsidRDefault="00A6084A" w:rsidP="00A6084A">
            <w:pPr>
              <w:widowControl w:val="0"/>
              <w:pBdr>
                <w:top w:val="nil"/>
                <w:left w:val="nil"/>
                <w:bottom w:val="nil"/>
                <w:right w:val="nil"/>
                <w:between w:val="nil"/>
              </w:pBdr>
            </w:pPr>
          </w:p>
        </w:tc>
        <w:tc>
          <w:tcPr>
            <w:tcW w:w="992" w:type="dxa"/>
            <w:shd w:val="clear" w:color="auto" w:fill="auto"/>
            <w:tcMar>
              <w:top w:w="100" w:type="dxa"/>
              <w:left w:w="100" w:type="dxa"/>
              <w:bottom w:w="100" w:type="dxa"/>
              <w:right w:w="100" w:type="dxa"/>
            </w:tcMar>
          </w:tcPr>
          <w:p w14:paraId="04474B70" w14:textId="7CEBF215" w:rsidR="00A6084A" w:rsidRDefault="00A6084A" w:rsidP="00A6084A">
            <w:pPr>
              <w:widowControl w:val="0"/>
              <w:pBdr>
                <w:top w:val="nil"/>
                <w:left w:val="nil"/>
                <w:bottom w:val="nil"/>
                <w:right w:val="nil"/>
                <w:between w:val="nil"/>
              </w:pBdr>
            </w:pPr>
            <w:r>
              <w:t>-0.227</w:t>
            </w:r>
          </w:p>
          <w:p w14:paraId="3E25B2B2" w14:textId="77777777" w:rsidR="00A6084A" w:rsidRDefault="00A6084A" w:rsidP="00A6084A">
            <w:pPr>
              <w:widowControl w:val="0"/>
              <w:pBdr>
                <w:top w:val="nil"/>
                <w:left w:val="nil"/>
                <w:bottom w:val="nil"/>
                <w:right w:val="nil"/>
                <w:between w:val="nil"/>
              </w:pBdr>
            </w:pPr>
            <w:r>
              <w:lastRenderedPageBreak/>
              <w:t>(0.147)</w:t>
            </w:r>
          </w:p>
        </w:tc>
        <w:tc>
          <w:tcPr>
            <w:tcW w:w="3402" w:type="dxa"/>
            <w:shd w:val="clear" w:color="auto" w:fill="auto"/>
            <w:tcMar>
              <w:top w:w="100" w:type="dxa"/>
              <w:left w:w="100" w:type="dxa"/>
              <w:bottom w:w="100" w:type="dxa"/>
              <w:right w:w="100" w:type="dxa"/>
            </w:tcMar>
          </w:tcPr>
          <w:p w14:paraId="75C71C4F" w14:textId="77777777" w:rsidR="00A6084A" w:rsidRDefault="00A6084A" w:rsidP="00A6084A">
            <w:pPr>
              <w:widowControl w:val="0"/>
              <w:pBdr>
                <w:top w:val="nil"/>
                <w:left w:val="nil"/>
                <w:bottom w:val="nil"/>
                <w:right w:val="nil"/>
                <w:between w:val="nil"/>
              </w:pBdr>
            </w:pPr>
            <w:r>
              <w:lastRenderedPageBreak/>
              <w:t>-0.014</w:t>
            </w:r>
          </w:p>
          <w:p w14:paraId="45E3C535" w14:textId="7295E8C0" w:rsidR="00A6084A" w:rsidRDefault="00A6084A" w:rsidP="00A6084A">
            <w:pPr>
              <w:widowControl w:val="0"/>
              <w:pBdr>
                <w:top w:val="nil"/>
                <w:left w:val="nil"/>
                <w:bottom w:val="nil"/>
                <w:right w:val="nil"/>
                <w:between w:val="nil"/>
              </w:pBdr>
            </w:pPr>
            <w:r>
              <w:lastRenderedPageBreak/>
              <w:t>(0.295)</w:t>
            </w:r>
          </w:p>
        </w:tc>
        <w:tc>
          <w:tcPr>
            <w:tcW w:w="993" w:type="dxa"/>
            <w:shd w:val="clear" w:color="auto" w:fill="auto"/>
            <w:tcMar>
              <w:top w:w="100" w:type="dxa"/>
              <w:left w:w="100" w:type="dxa"/>
              <w:bottom w:w="100" w:type="dxa"/>
              <w:right w:w="100" w:type="dxa"/>
            </w:tcMar>
          </w:tcPr>
          <w:p w14:paraId="4E114C82" w14:textId="77777777" w:rsidR="00A6084A" w:rsidRDefault="00A6084A" w:rsidP="00A6084A">
            <w:pPr>
              <w:widowControl w:val="0"/>
              <w:pBdr>
                <w:top w:val="nil"/>
                <w:left w:val="nil"/>
                <w:bottom w:val="nil"/>
                <w:right w:val="nil"/>
                <w:between w:val="nil"/>
              </w:pBdr>
            </w:pPr>
            <w:r>
              <w:lastRenderedPageBreak/>
              <w:t>0.0006</w:t>
            </w:r>
          </w:p>
          <w:p w14:paraId="08B0F14B" w14:textId="77777777" w:rsidR="00A6084A" w:rsidRDefault="00A6084A" w:rsidP="00A6084A">
            <w:pPr>
              <w:widowControl w:val="0"/>
              <w:pBdr>
                <w:top w:val="nil"/>
                <w:left w:val="nil"/>
                <w:bottom w:val="nil"/>
                <w:right w:val="nil"/>
                <w:between w:val="nil"/>
              </w:pBdr>
            </w:pPr>
            <w:r>
              <w:lastRenderedPageBreak/>
              <w:t>(0.183)</w:t>
            </w:r>
          </w:p>
        </w:tc>
        <w:tc>
          <w:tcPr>
            <w:tcW w:w="1984" w:type="dxa"/>
          </w:tcPr>
          <w:p w14:paraId="489A9C23" w14:textId="77777777" w:rsidR="00A6084A" w:rsidRDefault="00A6084A" w:rsidP="00A6084A">
            <w:pPr>
              <w:widowControl w:val="0"/>
              <w:pBdr>
                <w:top w:val="nil"/>
                <w:left w:val="nil"/>
                <w:bottom w:val="nil"/>
                <w:right w:val="nil"/>
                <w:between w:val="nil"/>
              </w:pBdr>
            </w:pPr>
            <w:r>
              <w:lastRenderedPageBreak/>
              <w:t>0.152</w:t>
            </w:r>
          </w:p>
          <w:p w14:paraId="463D9DE5" w14:textId="6E64C29A" w:rsidR="00A6084A" w:rsidRDefault="00A6084A" w:rsidP="00A6084A">
            <w:pPr>
              <w:widowControl w:val="0"/>
              <w:pBdr>
                <w:top w:val="nil"/>
                <w:left w:val="nil"/>
                <w:bottom w:val="nil"/>
                <w:right w:val="nil"/>
                <w:between w:val="nil"/>
              </w:pBdr>
            </w:pPr>
            <w:r>
              <w:lastRenderedPageBreak/>
              <w:t>(0.345)</w:t>
            </w:r>
          </w:p>
        </w:tc>
      </w:tr>
      <w:tr w:rsidR="00A6084A" w14:paraId="273E8D43" w14:textId="77777777" w:rsidTr="006E16F9">
        <w:tc>
          <w:tcPr>
            <w:tcW w:w="1515" w:type="dxa"/>
            <w:shd w:val="clear" w:color="auto" w:fill="auto"/>
            <w:tcMar>
              <w:top w:w="100" w:type="dxa"/>
              <w:left w:w="100" w:type="dxa"/>
              <w:bottom w:w="100" w:type="dxa"/>
              <w:right w:w="100" w:type="dxa"/>
            </w:tcMar>
          </w:tcPr>
          <w:p w14:paraId="40497AAF" w14:textId="77777777" w:rsidR="00A6084A" w:rsidRDefault="00A6084A" w:rsidP="00A6084A">
            <w:pPr>
              <w:widowControl w:val="0"/>
            </w:pPr>
            <w:proofErr w:type="spellStart"/>
            <w:r>
              <w:lastRenderedPageBreak/>
              <w:t>Hhrtcond</w:t>
            </w:r>
            <w:proofErr w:type="spellEnd"/>
          </w:p>
        </w:tc>
        <w:tc>
          <w:tcPr>
            <w:tcW w:w="1562" w:type="dxa"/>
          </w:tcPr>
          <w:p w14:paraId="474B1055" w14:textId="77777777" w:rsidR="00A6084A" w:rsidRDefault="00A6084A" w:rsidP="00A6084A">
            <w:pPr>
              <w:widowControl w:val="0"/>
              <w:pBdr>
                <w:top w:val="nil"/>
                <w:left w:val="nil"/>
                <w:bottom w:val="nil"/>
                <w:right w:val="nil"/>
                <w:between w:val="nil"/>
              </w:pBdr>
            </w:pPr>
          </w:p>
        </w:tc>
        <w:tc>
          <w:tcPr>
            <w:tcW w:w="992" w:type="dxa"/>
            <w:shd w:val="clear" w:color="auto" w:fill="auto"/>
            <w:tcMar>
              <w:top w:w="100" w:type="dxa"/>
              <w:left w:w="100" w:type="dxa"/>
              <w:bottom w:w="100" w:type="dxa"/>
              <w:right w:w="100" w:type="dxa"/>
            </w:tcMar>
          </w:tcPr>
          <w:p w14:paraId="5DF46676" w14:textId="2B3C6713" w:rsidR="00A6084A" w:rsidRDefault="00A6084A" w:rsidP="00A6084A">
            <w:pPr>
              <w:widowControl w:val="0"/>
              <w:pBdr>
                <w:top w:val="nil"/>
                <w:left w:val="nil"/>
                <w:bottom w:val="nil"/>
                <w:right w:val="nil"/>
                <w:between w:val="nil"/>
              </w:pBdr>
            </w:pPr>
            <w:r>
              <w:t>-4.779</w:t>
            </w:r>
          </w:p>
          <w:p w14:paraId="040BA360" w14:textId="77777777" w:rsidR="00A6084A" w:rsidRDefault="00A6084A" w:rsidP="00A6084A">
            <w:pPr>
              <w:widowControl w:val="0"/>
              <w:pBdr>
                <w:top w:val="nil"/>
                <w:left w:val="nil"/>
                <w:bottom w:val="nil"/>
                <w:right w:val="nil"/>
                <w:between w:val="nil"/>
              </w:pBdr>
            </w:pPr>
            <w:r>
              <w:t>(1.090)</w:t>
            </w:r>
          </w:p>
        </w:tc>
        <w:tc>
          <w:tcPr>
            <w:tcW w:w="3402" w:type="dxa"/>
            <w:shd w:val="clear" w:color="auto" w:fill="auto"/>
            <w:tcMar>
              <w:top w:w="100" w:type="dxa"/>
              <w:left w:w="100" w:type="dxa"/>
              <w:bottom w:w="100" w:type="dxa"/>
              <w:right w:w="100" w:type="dxa"/>
            </w:tcMar>
          </w:tcPr>
          <w:p w14:paraId="7C0EF6DF" w14:textId="77777777" w:rsidR="00A6084A" w:rsidRDefault="00A6084A" w:rsidP="00A6084A">
            <w:pPr>
              <w:widowControl w:val="0"/>
              <w:pBdr>
                <w:top w:val="nil"/>
                <w:left w:val="nil"/>
                <w:bottom w:val="nil"/>
                <w:right w:val="nil"/>
                <w:between w:val="nil"/>
              </w:pBdr>
            </w:pPr>
            <w:r>
              <w:t>-5.638</w:t>
            </w:r>
          </w:p>
          <w:p w14:paraId="57B86982" w14:textId="6521C338" w:rsidR="00A6084A" w:rsidRDefault="00A6084A" w:rsidP="00A6084A">
            <w:pPr>
              <w:widowControl w:val="0"/>
              <w:pBdr>
                <w:top w:val="nil"/>
                <w:left w:val="nil"/>
                <w:bottom w:val="nil"/>
                <w:right w:val="nil"/>
                <w:between w:val="nil"/>
              </w:pBdr>
            </w:pPr>
            <w:r>
              <w:t>(1.667)</w:t>
            </w:r>
          </w:p>
        </w:tc>
        <w:tc>
          <w:tcPr>
            <w:tcW w:w="993" w:type="dxa"/>
            <w:shd w:val="clear" w:color="auto" w:fill="auto"/>
            <w:tcMar>
              <w:top w:w="100" w:type="dxa"/>
              <w:left w:w="100" w:type="dxa"/>
              <w:bottom w:w="100" w:type="dxa"/>
              <w:right w:w="100" w:type="dxa"/>
            </w:tcMar>
          </w:tcPr>
          <w:p w14:paraId="58B48767" w14:textId="77777777" w:rsidR="00A6084A" w:rsidRDefault="00A6084A" w:rsidP="00A6084A">
            <w:pPr>
              <w:widowControl w:val="0"/>
              <w:pBdr>
                <w:top w:val="nil"/>
                <w:left w:val="nil"/>
                <w:bottom w:val="nil"/>
                <w:right w:val="nil"/>
                <w:between w:val="nil"/>
              </w:pBdr>
            </w:pPr>
            <w:r>
              <w:t>-7.014</w:t>
            </w:r>
          </w:p>
          <w:p w14:paraId="20BB58D4" w14:textId="77777777" w:rsidR="00A6084A" w:rsidRDefault="00A6084A" w:rsidP="00A6084A">
            <w:pPr>
              <w:widowControl w:val="0"/>
              <w:pBdr>
                <w:top w:val="nil"/>
                <w:left w:val="nil"/>
                <w:bottom w:val="nil"/>
                <w:right w:val="nil"/>
                <w:between w:val="nil"/>
              </w:pBdr>
            </w:pPr>
            <w:r>
              <w:t>(1.497)</w:t>
            </w:r>
          </w:p>
        </w:tc>
        <w:tc>
          <w:tcPr>
            <w:tcW w:w="1984" w:type="dxa"/>
          </w:tcPr>
          <w:p w14:paraId="2A8A909F" w14:textId="77777777" w:rsidR="00A6084A" w:rsidRDefault="00A6084A" w:rsidP="00A6084A">
            <w:pPr>
              <w:widowControl w:val="0"/>
              <w:pBdr>
                <w:top w:val="nil"/>
                <w:left w:val="nil"/>
                <w:bottom w:val="nil"/>
                <w:right w:val="nil"/>
                <w:between w:val="nil"/>
              </w:pBdr>
            </w:pPr>
            <w:r>
              <w:t>-7.621</w:t>
            </w:r>
          </w:p>
          <w:p w14:paraId="4423AA06" w14:textId="20DAF536" w:rsidR="00A6084A" w:rsidRDefault="00A6084A" w:rsidP="00A6084A">
            <w:pPr>
              <w:widowControl w:val="0"/>
              <w:pBdr>
                <w:top w:val="nil"/>
                <w:left w:val="nil"/>
                <w:bottom w:val="nil"/>
                <w:right w:val="nil"/>
                <w:between w:val="nil"/>
              </w:pBdr>
            </w:pPr>
            <w:r>
              <w:t>(2.04)</w:t>
            </w:r>
          </w:p>
        </w:tc>
      </w:tr>
      <w:tr w:rsidR="00A6084A" w14:paraId="654C58BD" w14:textId="77777777" w:rsidTr="006E16F9">
        <w:tc>
          <w:tcPr>
            <w:tcW w:w="1515" w:type="dxa"/>
            <w:shd w:val="clear" w:color="auto" w:fill="auto"/>
            <w:tcMar>
              <w:top w:w="100" w:type="dxa"/>
              <w:left w:w="100" w:type="dxa"/>
              <w:bottom w:w="100" w:type="dxa"/>
              <w:right w:w="100" w:type="dxa"/>
            </w:tcMar>
          </w:tcPr>
          <w:p w14:paraId="25BDF817" w14:textId="77777777" w:rsidR="00A6084A" w:rsidRDefault="00A6084A" w:rsidP="00A6084A">
            <w:pPr>
              <w:widowControl w:val="0"/>
            </w:pPr>
            <w:r>
              <w:t>Constant</w:t>
            </w:r>
          </w:p>
        </w:tc>
        <w:tc>
          <w:tcPr>
            <w:tcW w:w="1562" w:type="dxa"/>
          </w:tcPr>
          <w:p w14:paraId="48F9C66E" w14:textId="77777777" w:rsidR="00A6084A" w:rsidRDefault="00A6084A" w:rsidP="00A6084A">
            <w:pPr>
              <w:widowControl w:val="0"/>
            </w:pPr>
            <w:r w:rsidRPr="00911282">
              <w:t>12.56</w:t>
            </w:r>
          </w:p>
          <w:p w14:paraId="13BC9AED" w14:textId="40416771" w:rsidR="00A6084A" w:rsidRDefault="00A6084A" w:rsidP="00A6084A">
            <w:pPr>
              <w:widowControl w:val="0"/>
            </w:pPr>
            <w:r>
              <w:t>(0.533)</w:t>
            </w:r>
          </w:p>
        </w:tc>
        <w:tc>
          <w:tcPr>
            <w:tcW w:w="992" w:type="dxa"/>
            <w:shd w:val="clear" w:color="auto" w:fill="auto"/>
            <w:tcMar>
              <w:top w:w="100" w:type="dxa"/>
              <w:left w:w="100" w:type="dxa"/>
              <w:bottom w:w="100" w:type="dxa"/>
              <w:right w:w="100" w:type="dxa"/>
            </w:tcMar>
          </w:tcPr>
          <w:p w14:paraId="03E35F67" w14:textId="25BE61D9" w:rsidR="00A6084A" w:rsidRDefault="00A6084A" w:rsidP="00A6084A">
            <w:pPr>
              <w:widowControl w:val="0"/>
            </w:pPr>
            <w:r>
              <w:t>15.69</w:t>
            </w:r>
          </w:p>
          <w:p w14:paraId="44CFAC1D" w14:textId="77777777" w:rsidR="00A6084A" w:rsidRDefault="00A6084A" w:rsidP="00A6084A">
            <w:pPr>
              <w:widowControl w:val="0"/>
            </w:pPr>
            <w:r>
              <w:t>(2.109)</w:t>
            </w:r>
          </w:p>
        </w:tc>
        <w:tc>
          <w:tcPr>
            <w:tcW w:w="3402" w:type="dxa"/>
            <w:shd w:val="clear" w:color="auto" w:fill="auto"/>
            <w:tcMar>
              <w:top w:w="100" w:type="dxa"/>
              <w:left w:w="100" w:type="dxa"/>
              <w:bottom w:w="100" w:type="dxa"/>
              <w:right w:w="100" w:type="dxa"/>
            </w:tcMar>
          </w:tcPr>
          <w:p w14:paraId="5B4B1F12" w14:textId="77777777" w:rsidR="00A6084A" w:rsidRDefault="00A6084A" w:rsidP="00A6084A">
            <w:pPr>
              <w:widowControl w:val="0"/>
              <w:pBdr>
                <w:top w:val="nil"/>
                <w:left w:val="nil"/>
                <w:bottom w:val="nil"/>
                <w:right w:val="nil"/>
                <w:between w:val="nil"/>
              </w:pBdr>
            </w:pPr>
            <w:r>
              <w:t>9.231</w:t>
            </w:r>
          </w:p>
          <w:p w14:paraId="2A07339A" w14:textId="6BF3ECAC" w:rsidR="00A6084A" w:rsidRDefault="00A6084A" w:rsidP="00A6084A">
            <w:pPr>
              <w:widowControl w:val="0"/>
              <w:pBdr>
                <w:top w:val="nil"/>
                <w:left w:val="nil"/>
                <w:bottom w:val="nil"/>
                <w:right w:val="nil"/>
                <w:between w:val="nil"/>
              </w:pBdr>
            </w:pPr>
            <w:r>
              <w:t>(7.973)</w:t>
            </w:r>
          </w:p>
        </w:tc>
        <w:tc>
          <w:tcPr>
            <w:tcW w:w="993" w:type="dxa"/>
            <w:shd w:val="clear" w:color="auto" w:fill="auto"/>
            <w:tcMar>
              <w:top w:w="100" w:type="dxa"/>
              <w:left w:w="100" w:type="dxa"/>
              <w:bottom w:w="100" w:type="dxa"/>
              <w:right w:w="100" w:type="dxa"/>
            </w:tcMar>
          </w:tcPr>
          <w:p w14:paraId="715361E6" w14:textId="77777777" w:rsidR="00A6084A" w:rsidRDefault="00A6084A" w:rsidP="00A6084A">
            <w:pPr>
              <w:widowControl w:val="0"/>
              <w:pBdr>
                <w:top w:val="nil"/>
                <w:left w:val="nil"/>
                <w:bottom w:val="nil"/>
                <w:right w:val="nil"/>
                <w:between w:val="nil"/>
              </w:pBdr>
            </w:pPr>
            <w:r>
              <w:t>8.547</w:t>
            </w:r>
          </w:p>
          <w:p w14:paraId="26DFB549" w14:textId="77777777" w:rsidR="00A6084A" w:rsidRDefault="00A6084A" w:rsidP="00A6084A">
            <w:pPr>
              <w:widowControl w:val="0"/>
              <w:pBdr>
                <w:top w:val="nil"/>
                <w:left w:val="nil"/>
                <w:bottom w:val="nil"/>
                <w:right w:val="nil"/>
                <w:between w:val="nil"/>
              </w:pBdr>
            </w:pPr>
            <w:r>
              <w:t>(2.540)</w:t>
            </w:r>
          </w:p>
        </w:tc>
        <w:tc>
          <w:tcPr>
            <w:tcW w:w="1984" w:type="dxa"/>
          </w:tcPr>
          <w:p w14:paraId="0AFDDD1B" w14:textId="77777777" w:rsidR="00A6084A" w:rsidRDefault="00A6084A" w:rsidP="00A6084A">
            <w:pPr>
              <w:widowControl w:val="0"/>
              <w:pBdr>
                <w:top w:val="nil"/>
                <w:left w:val="nil"/>
                <w:bottom w:val="nil"/>
                <w:right w:val="nil"/>
                <w:between w:val="nil"/>
              </w:pBdr>
            </w:pPr>
            <w:r>
              <w:t>3.976</w:t>
            </w:r>
          </w:p>
          <w:p w14:paraId="2E9D582C" w14:textId="48180909" w:rsidR="00A6084A" w:rsidRDefault="00A6084A" w:rsidP="00A6084A">
            <w:pPr>
              <w:widowControl w:val="0"/>
              <w:pBdr>
                <w:top w:val="nil"/>
                <w:left w:val="nil"/>
                <w:bottom w:val="nil"/>
                <w:right w:val="nil"/>
                <w:between w:val="nil"/>
              </w:pBdr>
            </w:pPr>
            <w:r>
              <w:t>(9.254)</w:t>
            </w:r>
          </w:p>
        </w:tc>
      </w:tr>
      <w:tr w:rsidR="00A6084A" w14:paraId="1866F640" w14:textId="77777777" w:rsidTr="006E16F9">
        <w:tc>
          <w:tcPr>
            <w:tcW w:w="1515" w:type="dxa"/>
            <w:shd w:val="clear" w:color="auto" w:fill="auto"/>
            <w:tcMar>
              <w:top w:w="100" w:type="dxa"/>
              <w:left w:w="100" w:type="dxa"/>
              <w:bottom w:w="100" w:type="dxa"/>
              <w:right w:w="100" w:type="dxa"/>
            </w:tcMar>
          </w:tcPr>
          <w:p w14:paraId="3CF532D0" w14:textId="77777777" w:rsidR="00A6084A" w:rsidRDefault="00A6084A" w:rsidP="00A6084A">
            <w:pPr>
              <w:widowControl w:val="0"/>
            </w:pPr>
            <w:r>
              <w:t>v</w:t>
            </w:r>
          </w:p>
        </w:tc>
        <w:tc>
          <w:tcPr>
            <w:tcW w:w="1562" w:type="dxa"/>
          </w:tcPr>
          <w:p w14:paraId="466CA004" w14:textId="77777777" w:rsidR="00A6084A" w:rsidRDefault="00A6084A" w:rsidP="00A6084A">
            <w:pPr>
              <w:widowControl w:val="0"/>
            </w:pPr>
          </w:p>
        </w:tc>
        <w:tc>
          <w:tcPr>
            <w:tcW w:w="992" w:type="dxa"/>
            <w:shd w:val="clear" w:color="auto" w:fill="auto"/>
            <w:tcMar>
              <w:top w:w="100" w:type="dxa"/>
              <w:left w:w="100" w:type="dxa"/>
              <w:bottom w:w="100" w:type="dxa"/>
              <w:right w:w="100" w:type="dxa"/>
            </w:tcMar>
          </w:tcPr>
          <w:p w14:paraId="25AB1B79" w14:textId="45902873" w:rsidR="00A6084A" w:rsidRDefault="00A6084A" w:rsidP="00A6084A">
            <w:pPr>
              <w:widowControl w:val="0"/>
            </w:pPr>
          </w:p>
        </w:tc>
        <w:tc>
          <w:tcPr>
            <w:tcW w:w="3402" w:type="dxa"/>
            <w:shd w:val="clear" w:color="auto" w:fill="auto"/>
            <w:tcMar>
              <w:top w:w="100" w:type="dxa"/>
              <w:left w:w="100" w:type="dxa"/>
              <w:bottom w:w="100" w:type="dxa"/>
              <w:right w:w="100" w:type="dxa"/>
            </w:tcMar>
          </w:tcPr>
          <w:p w14:paraId="3049B67E" w14:textId="77777777" w:rsidR="00A6084A" w:rsidRDefault="00A6084A" w:rsidP="00A6084A">
            <w:pPr>
              <w:widowControl w:val="0"/>
              <w:pBdr>
                <w:top w:val="nil"/>
                <w:left w:val="nil"/>
                <w:bottom w:val="nil"/>
                <w:right w:val="nil"/>
                <w:between w:val="nil"/>
              </w:pBdr>
            </w:pPr>
          </w:p>
        </w:tc>
        <w:tc>
          <w:tcPr>
            <w:tcW w:w="993" w:type="dxa"/>
            <w:shd w:val="clear" w:color="auto" w:fill="auto"/>
            <w:tcMar>
              <w:top w:w="100" w:type="dxa"/>
              <w:left w:w="100" w:type="dxa"/>
              <w:bottom w:w="100" w:type="dxa"/>
              <w:right w:w="100" w:type="dxa"/>
            </w:tcMar>
          </w:tcPr>
          <w:p w14:paraId="16EAC8D5" w14:textId="77777777" w:rsidR="00A6084A" w:rsidRDefault="00A6084A" w:rsidP="00A6084A">
            <w:pPr>
              <w:widowControl w:val="0"/>
              <w:pBdr>
                <w:top w:val="nil"/>
                <w:left w:val="nil"/>
                <w:bottom w:val="nil"/>
                <w:right w:val="nil"/>
                <w:between w:val="nil"/>
              </w:pBdr>
            </w:pPr>
          </w:p>
        </w:tc>
        <w:tc>
          <w:tcPr>
            <w:tcW w:w="1984" w:type="dxa"/>
          </w:tcPr>
          <w:p w14:paraId="5D1F68E6" w14:textId="77777777" w:rsidR="00A6084A" w:rsidRDefault="00A6084A" w:rsidP="00A6084A">
            <w:pPr>
              <w:widowControl w:val="0"/>
              <w:pBdr>
                <w:top w:val="nil"/>
                <w:left w:val="nil"/>
                <w:bottom w:val="nil"/>
                <w:right w:val="nil"/>
                <w:between w:val="nil"/>
              </w:pBdr>
            </w:pPr>
            <w:r>
              <w:t>-9.737</w:t>
            </w:r>
          </w:p>
          <w:p w14:paraId="2668AAA3" w14:textId="19081619" w:rsidR="00A6084A" w:rsidRDefault="00A6084A" w:rsidP="00A6084A">
            <w:pPr>
              <w:widowControl w:val="0"/>
              <w:pBdr>
                <w:top w:val="nil"/>
                <w:left w:val="nil"/>
                <w:bottom w:val="nil"/>
                <w:right w:val="nil"/>
                <w:between w:val="nil"/>
              </w:pBdr>
            </w:pPr>
            <w:r>
              <w:t>(19.21)</w:t>
            </w:r>
          </w:p>
        </w:tc>
      </w:tr>
      <w:tr w:rsidR="00A6084A" w14:paraId="62724DBC" w14:textId="77777777" w:rsidTr="006E16F9">
        <w:tc>
          <w:tcPr>
            <w:tcW w:w="1515" w:type="dxa"/>
            <w:shd w:val="clear" w:color="auto" w:fill="auto"/>
            <w:tcMar>
              <w:top w:w="100" w:type="dxa"/>
              <w:left w:w="100" w:type="dxa"/>
              <w:bottom w:w="100" w:type="dxa"/>
              <w:right w:w="100" w:type="dxa"/>
            </w:tcMar>
          </w:tcPr>
          <w:p w14:paraId="4101B038" w14:textId="77777777" w:rsidR="00A6084A" w:rsidRDefault="00A6084A" w:rsidP="00A6084A">
            <w:pPr>
              <w:widowControl w:val="0"/>
            </w:pPr>
            <w:r>
              <w:t>R-squared</w:t>
            </w:r>
          </w:p>
        </w:tc>
        <w:tc>
          <w:tcPr>
            <w:tcW w:w="1562" w:type="dxa"/>
          </w:tcPr>
          <w:p w14:paraId="4929306E" w14:textId="581A9DD4" w:rsidR="00A6084A" w:rsidRDefault="00A6084A" w:rsidP="00A6084A">
            <w:pPr>
              <w:widowControl w:val="0"/>
              <w:pBdr>
                <w:top w:val="nil"/>
                <w:left w:val="nil"/>
                <w:bottom w:val="nil"/>
                <w:right w:val="nil"/>
                <w:between w:val="nil"/>
              </w:pBdr>
            </w:pPr>
            <w:r>
              <w:t>0.0229</w:t>
            </w:r>
          </w:p>
        </w:tc>
        <w:tc>
          <w:tcPr>
            <w:tcW w:w="992" w:type="dxa"/>
            <w:shd w:val="clear" w:color="auto" w:fill="auto"/>
            <w:tcMar>
              <w:top w:w="100" w:type="dxa"/>
              <w:left w:w="100" w:type="dxa"/>
              <w:bottom w:w="100" w:type="dxa"/>
              <w:right w:w="100" w:type="dxa"/>
            </w:tcMar>
          </w:tcPr>
          <w:p w14:paraId="78D22C4E" w14:textId="3C5D4DAC" w:rsidR="00A6084A" w:rsidRDefault="00A6084A" w:rsidP="00A6084A">
            <w:pPr>
              <w:widowControl w:val="0"/>
              <w:pBdr>
                <w:top w:val="nil"/>
                <w:left w:val="nil"/>
                <w:bottom w:val="nil"/>
                <w:right w:val="nil"/>
                <w:between w:val="nil"/>
              </w:pBdr>
            </w:pPr>
            <w:r>
              <w:t>0.0344</w:t>
            </w:r>
          </w:p>
        </w:tc>
        <w:tc>
          <w:tcPr>
            <w:tcW w:w="3402" w:type="dxa"/>
            <w:shd w:val="clear" w:color="auto" w:fill="auto"/>
            <w:tcMar>
              <w:top w:w="100" w:type="dxa"/>
              <w:left w:w="100" w:type="dxa"/>
              <w:bottom w:w="100" w:type="dxa"/>
              <w:right w:w="100" w:type="dxa"/>
            </w:tcMar>
          </w:tcPr>
          <w:p w14:paraId="31FAB5FB" w14:textId="77777777" w:rsidR="00A6084A" w:rsidRDefault="00A6084A" w:rsidP="00A6084A">
            <w:pPr>
              <w:widowControl w:val="0"/>
              <w:pBdr>
                <w:top w:val="nil"/>
                <w:left w:val="nil"/>
                <w:bottom w:val="nil"/>
                <w:right w:val="nil"/>
                <w:between w:val="nil"/>
              </w:pBdr>
            </w:pPr>
          </w:p>
        </w:tc>
        <w:tc>
          <w:tcPr>
            <w:tcW w:w="993" w:type="dxa"/>
            <w:shd w:val="clear" w:color="auto" w:fill="auto"/>
            <w:tcMar>
              <w:top w:w="100" w:type="dxa"/>
              <w:left w:w="100" w:type="dxa"/>
              <w:bottom w:w="100" w:type="dxa"/>
              <w:right w:w="100" w:type="dxa"/>
            </w:tcMar>
          </w:tcPr>
          <w:p w14:paraId="7A242B95" w14:textId="0093ACEA" w:rsidR="00A6084A" w:rsidRDefault="00A6084A" w:rsidP="00A6084A">
            <w:pPr>
              <w:widowControl w:val="0"/>
              <w:pBdr>
                <w:top w:val="nil"/>
                <w:left w:val="nil"/>
                <w:bottom w:val="nil"/>
                <w:right w:val="nil"/>
                <w:between w:val="nil"/>
              </w:pBdr>
            </w:pPr>
            <w:r>
              <w:t>0.0337</w:t>
            </w:r>
          </w:p>
        </w:tc>
        <w:tc>
          <w:tcPr>
            <w:tcW w:w="1984" w:type="dxa"/>
          </w:tcPr>
          <w:p w14:paraId="58A8E552" w14:textId="66448F0D" w:rsidR="00A6084A" w:rsidRDefault="00A6084A" w:rsidP="00A6084A">
            <w:pPr>
              <w:widowControl w:val="0"/>
              <w:pBdr>
                <w:top w:val="nil"/>
                <w:left w:val="nil"/>
                <w:bottom w:val="nil"/>
                <w:right w:val="nil"/>
                <w:between w:val="nil"/>
              </w:pBdr>
            </w:pPr>
            <w:r>
              <w:t>0.034</w:t>
            </w:r>
          </w:p>
        </w:tc>
      </w:tr>
      <w:tr w:rsidR="00A6084A" w14:paraId="35F00DC2" w14:textId="77777777" w:rsidTr="006E16F9">
        <w:tc>
          <w:tcPr>
            <w:tcW w:w="1515" w:type="dxa"/>
            <w:shd w:val="clear" w:color="auto" w:fill="auto"/>
            <w:tcMar>
              <w:top w:w="100" w:type="dxa"/>
              <w:left w:w="100" w:type="dxa"/>
              <w:bottom w:w="100" w:type="dxa"/>
              <w:right w:w="100" w:type="dxa"/>
            </w:tcMar>
          </w:tcPr>
          <w:p w14:paraId="561D020F" w14:textId="77777777" w:rsidR="00A6084A" w:rsidRDefault="00A6084A" w:rsidP="00A6084A">
            <w:pPr>
              <w:widowControl w:val="0"/>
            </w:pPr>
            <m:oMath>
              <m:r>
                <w:rPr>
                  <w:rFonts w:ascii="Cambria Math" w:hAnsi="Cambria Math"/>
                </w:rPr>
                <m:t>σ</m:t>
              </m:r>
            </m:oMath>
            <w:r>
              <w:t xml:space="preserve"> </w:t>
            </w:r>
          </w:p>
        </w:tc>
        <w:tc>
          <w:tcPr>
            <w:tcW w:w="1562" w:type="dxa"/>
          </w:tcPr>
          <w:p w14:paraId="79467A7F" w14:textId="127D2D4C" w:rsidR="00A6084A" w:rsidRDefault="00A6084A" w:rsidP="00A6084A">
            <w:pPr>
              <w:widowControl w:val="0"/>
              <w:pBdr>
                <w:top w:val="nil"/>
                <w:left w:val="nil"/>
                <w:bottom w:val="nil"/>
                <w:right w:val="nil"/>
                <w:between w:val="nil"/>
              </w:pBdr>
            </w:pPr>
            <w:r>
              <w:t>22.50</w:t>
            </w:r>
          </w:p>
        </w:tc>
        <w:tc>
          <w:tcPr>
            <w:tcW w:w="992" w:type="dxa"/>
            <w:shd w:val="clear" w:color="auto" w:fill="auto"/>
            <w:tcMar>
              <w:top w:w="100" w:type="dxa"/>
              <w:left w:w="100" w:type="dxa"/>
              <w:bottom w:w="100" w:type="dxa"/>
              <w:right w:w="100" w:type="dxa"/>
            </w:tcMar>
          </w:tcPr>
          <w:p w14:paraId="31E4CE58" w14:textId="4C33C62D" w:rsidR="00A6084A" w:rsidRDefault="00A6084A" w:rsidP="00A6084A">
            <w:pPr>
              <w:widowControl w:val="0"/>
              <w:pBdr>
                <w:top w:val="nil"/>
                <w:left w:val="nil"/>
                <w:bottom w:val="nil"/>
                <w:right w:val="nil"/>
                <w:between w:val="nil"/>
              </w:pBdr>
            </w:pPr>
            <w:r>
              <w:t>22.38</w:t>
            </w:r>
          </w:p>
        </w:tc>
        <w:tc>
          <w:tcPr>
            <w:tcW w:w="3402" w:type="dxa"/>
            <w:shd w:val="clear" w:color="auto" w:fill="auto"/>
            <w:tcMar>
              <w:top w:w="100" w:type="dxa"/>
              <w:left w:w="100" w:type="dxa"/>
              <w:bottom w:w="100" w:type="dxa"/>
              <w:right w:w="100" w:type="dxa"/>
            </w:tcMar>
          </w:tcPr>
          <w:p w14:paraId="31CCD817" w14:textId="07CB7B59" w:rsidR="00A6084A" w:rsidRDefault="00A6084A" w:rsidP="00A6084A">
            <w:pPr>
              <w:widowControl w:val="0"/>
              <w:pBdr>
                <w:top w:val="nil"/>
                <w:left w:val="nil"/>
                <w:bottom w:val="nil"/>
                <w:right w:val="nil"/>
                <w:between w:val="nil"/>
              </w:pBdr>
            </w:pPr>
            <w:r>
              <w:t>23.169</w:t>
            </w:r>
          </w:p>
        </w:tc>
        <w:tc>
          <w:tcPr>
            <w:tcW w:w="993" w:type="dxa"/>
            <w:shd w:val="clear" w:color="auto" w:fill="auto"/>
            <w:tcMar>
              <w:top w:w="100" w:type="dxa"/>
              <w:left w:w="100" w:type="dxa"/>
              <w:bottom w:w="100" w:type="dxa"/>
              <w:right w:w="100" w:type="dxa"/>
            </w:tcMar>
          </w:tcPr>
          <w:p w14:paraId="1A8AC732" w14:textId="77777777" w:rsidR="00A6084A" w:rsidRDefault="00A6084A" w:rsidP="00A6084A">
            <w:pPr>
              <w:widowControl w:val="0"/>
              <w:pBdr>
                <w:top w:val="nil"/>
                <w:left w:val="nil"/>
                <w:bottom w:val="nil"/>
                <w:right w:val="nil"/>
                <w:between w:val="nil"/>
              </w:pBdr>
            </w:pPr>
            <w:r>
              <w:t>26.51</w:t>
            </w:r>
          </w:p>
        </w:tc>
        <w:tc>
          <w:tcPr>
            <w:tcW w:w="1984" w:type="dxa"/>
          </w:tcPr>
          <w:p w14:paraId="59087EA9" w14:textId="6F30DAFC" w:rsidR="00A6084A" w:rsidRDefault="00A6084A" w:rsidP="00A6084A">
            <w:pPr>
              <w:widowControl w:val="0"/>
              <w:pBdr>
                <w:top w:val="nil"/>
                <w:left w:val="nil"/>
                <w:bottom w:val="nil"/>
                <w:right w:val="nil"/>
                <w:between w:val="nil"/>
              </w:pBdr>
            </w:pPr>
            <w:r>
              <w:t>26.50</w:t>
            </w:r>
          </w:p>
        </w:tc>
      </w:tr>
    </w:tbl>
    <w:p w14:paraId="554CA8B0" w14:textId="77777777" w:rsidR="00253F53" w:rsidRDefault="00253F53" w:rsidP="00253F53"/>
    <w:p w14:paraId="39E61B07" w14:textId="671FAA16" w:rsidR="002F2A39" w:rsidRDefault="002F2A39" w:rsidP="002F2A39">
      <w:r w:rsidRPr="002F2A39">
        <w:t>When using OLS</w:t>
      </w:r>
      <w:r w:rsidR="008019A6">
        <w:t xml:space="preserve"> on the model </w:t>
      </w:r>
      <m:oMath>
        <m:r>
          <w:rPr>
            <w:rFonts w:ascii="Cambria Math" w:hAnsi="Cambria Math"/>
          </w:rPr>
          <m:t xml:space="preserve">Drinks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Advice+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Hhrtcond + u </m:t>
        </m:r>
      </m:oMath>
      <w:r>
        <w:t xml:space="preserve">, we find that the coefficients for Advice and </w:t>
      </w:r>
      <w:proofErr w:type="spellStart"/>
      <w:r>
        <w:t>Editinc</w:t>
      </w:r>
      <w:proofErr w:type="spellEnd"/>
      <w:r>
        <w:t xml:space="preserve"> are positive when we previously theorized them to be negative. </w:t>
      </w:r>
    </w:p>
    <w:p w14:paraId="4BA7AE7D" w14:textId="77777777" w:rsidR="002F2A39" w:rsidRDefault="002F2A39" w:rsidP="002F2A39"/>
    <w:p w14:paraId="7ADDCE2B" w14:textId="1B64C150" w:rsidR="002F2A39" w:rsidRDefault="002F2A39" w:rsidP="002F2A39">
      <w:r>
        <w:t>We note that Advice is both counter-intuitively estimated to be positive</w:t>
      </w:r>
      <w:r w:rsidR="008019A6">
        <w:t xml:space="preserve"> with a large magnitude</w:t>
      </w:r>
      <w:r>
        <w:t xml:space="preserve"> in a statistically significant manner, where in using a t-test to test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0 </m:t>
        </m:r>
      </m:oMath>
      <w:r>
        <w:t xml:space="preserve">against the alternate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0</m:t>
        </m:r>
      </m:oMath>
      <w:r>
        <w:t>, we reject the null hyp</w:t>
      </w:r>
      <w:proofErr w:type="spellStart"/>
      <w:r>
        <w:t>othesis</w:t>
      </w:r>
      <w:proofErr w:type="spellEnd"/>
      <w:r>
        <w:t xml:space="preserve"> at the 5% significance level. This is highly suggestive of endogeneity, as some omitted variable, e.g. addictive personality, may be may be correlated with requiring more advice and simultaneously a desire to drink more. As such, OLS may be an inappropriate model due to the ZCM assumption being untenable.</w:t>
      </w:r>
    </w:p>
    <w:p w14:paraId="05A3A8EC" w14:textId="7294239F" w:rsidR="00A6084A" w:rsidRDefault="00A6084A" w:rsidP="002F2A39"/>
    <w:p w14:paraId="38278C50" w14:textId="737FC973" w:rsidR="00A6084A" w:rsidRDefault="00A6084A" w:rsidP="002F2A39">
      <w:r>
        <w:t xml:space="preserve">At the very least however, we surprisingly find that when </w:t>
      </w:r>
      <w:r>
        <w:t xml:space="preserve">OLS estimation </w:t>
      </w:r>
      <w:r>
        <w:t xml:space="preserve">is used </w:t>
      </w:r>
      <w:r>
        <w:t xml:space="preserve">on </w:t>
      </w:r>
      <m:oMath>
        <m:r>
          <w:rPr>
            <w:rFonts w:ascii="Cambria Math" w:hAnsi="Cambria Math"/>
          </w:rPr>
          <m:t xml:space="preserve">Advice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Hhrtcond + v</m:t>
        </m:r>
      </m:oMath>
      <w:r>
        <w:t xml:space="preserve"> , that </w:t>
      </w:r>
      <w:r w:rsidRPr="00A6084A">
        <w:t xml:space="preserve">we find that using a F-test, we </w:t>
      </w:r>
      <w:r w:rsidR="008019A6">
        <w:t xml:space="preserve">fail to </w:t>
      </w:r>
      <w:r w:rsidRPr="00A6084A">
        <w:t xml:space="preserve">reject the </w:t>
      </w:r>
      <w:r w:rsidR="008019A6">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r>
          <w:rPr>
            <w:rFonts w:ascii="Cambria Math" w:hAnsi="Cambria Math"/>
          </w:rPr>
          <m:t xml:space="preserve"> </m:t>
        </m:r>
      </m:oMath>
      <w:r w:rsidRPr="00A6084A">
        <w:t xml:space="preserve">at the 35% significance level, indicating that even if </w:t>
      </w:r>
      <w:proofErr w:type="spellStart"/>
      <w:r w:rsidR="008019A6">
        <w:t>Editinc</w:t>
      </w:r>
      <w:proofErr w:type="spellEnd"/>
      <w:r w:rsidR="008019A6">
        <w:t xml:space="preserve"> and </w:t>
      </w:r>
      <w:proofErr w:type="spellStart"/>
      <w:r w:rsidR="008019A6">
        <w:t>Unemploy</w:t>
      </w:r>
      <w:proofErr w:type="spellEnd"/>
      <w:r w:rsidRPr="00A6084A">
        <w:t xml:space="preserve"> are endogenous, they would not bias advice</w:t>
      </w:r>
      <w:r w:rsidR="008019A6">
        <w:t xml:space="preserve"> due to a lack of correlation</w:t>
      </w:r>
      <w:r>
        <w:t xml:space="preserve">. </w:t>
      </w:r>
    </w:p>
    <w:p w14:paraId="36C9C7BF" w14:textId="77777777" w:rsidR="00DC0FA8" w:rsidRDefault="00DC0FA8" w:rsidP="00253F53"/>
    <w:p w14:paraId="7019FAC1" w14:textId="1444F554" w:rsidR="00DC0FA8" w:rsidRDefault="00DC0FA8" w:rsidP="00253F53">
      <w:r w:rsidRPr="00DC0FA8">
        <w:t>In our assumption for the 2SLS model</w:t>
      </w:r>
      <w:r>
        <w:t>, we assume that the instruments are exogenous. However, as there are more instruments than endogenous regressors, we can test whether at least one may be endogenous.</w:t>
      </w:r>
      <w:r w:rsidR="00613877">
        <w:t xml:space="preserve"> We find that when regressing the 2SLS residuals on all exogenous variables and then multiplying by the sample size, that </w:t>
      </w:r>
      <m:oMath>
        <m:r>
          <w:rPr>
            <w:rFonts w:ascii="Cambria Math" w:hAnsi="Cambria Math"/>
          </w:rPr>
          <m:t>n</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 xml:space="preserve"> = 14.7004</m:t>
        </m:r>
      </m:oMath>
      <w:r w:rsidR="00613877">
        <w:t xml:space="preserve"> and </w:t>
      </w:r>
      <w:r w:rsidR="00D47A8D">
        <w:t>there is a</w:t>
      </w:r>
      <w:r w:rsidR="00613877">
        <w:t xml:space="preserve"> p value of 0.0006</w:t>
      </w:r>
      <w:r w:rsidR="00424374">
        <w:t xml:space="preserve"> when comparing with the Chi-squared distribution, rejecting the null </w:t>
      </w:r>
      <w:r w:rsidR="00D47A8D">
        <w:t xml:space="preserve">hypothesis that all instruments are exogenous. </w:t>
      </w:r>
    </w:p>
    <w:p w14:paraId="6AC5F5FF" w14:textId="77777777" w:rsidR="00DC0FA8" w:rsidRDefault="00DC0FA8" w:rsidP="00253F53"/>
    <w:p w14:paraId="7CAFB36C" w14:textId="27C1E527" w:rsidR="00DC0FA8" w:rsidRDefault="00D47A8D" w:rsidP="00253F53">
      <w:r>
        <w:t>As such, we drop dr1 from the equation as we believe that the economic theory is weaker for it. It is possible that someone who shops around for doctors is more health-conscientious for example.</w:t>
      </w:r>
      <w:r w:rsidR="00424374">
        <w:t xml:space="preserve"> Hence, it is removed in order to prevent bias and inconsistency.</w:t>
      </w:r>
    </w:p>
    <w:p w14:paraId="46DCEA57" w14:textId="2416D3FD" w:rsidR="00D47A8D" w:rsidRDefault="00D47A8D" w:rsidP="00253F53"/>
    <w:p w14:paraId="23E86955" w14:textId="51F1E963" w:rsidR="00424374" w:rsidRDefault="00D47A8D" w:rsidP="00424374">
      <w:r>
        <w:t xml:space="preserve">Now, we also check for instrument relevance for </w:t>
      </w:r>
      <w:proofErr w:type="spellStart"/>
      <w:r>
        <w:t>hlthins</w:t>
      </w:r>
      <w:proofErr w:type="spellEnd"/>
      <w:r>
        <w:t xml:space="preserve">. </w:t>
      </w:r>
      <w:r w:rsidR="00424374">
        <w:t>W</w:t>
      </w:r>
      <w:r>
        <w:t xml:space="preserve">e </w:t>
      </w:r>
      <w:r w:rsidR="00424374">
        <w:t xml:space="preserve">use OLS estimation on </w:t>
      </w:r>
      <m:oMath>
        <m:r>
          <w:rPr>
            <w:rFonts w:ascii="Cambria Math" w:hAnsi="Cambria Math"/>
          </w:rPr>
          <m:t xml:space="preserve">Advice =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+β</m:t>
            </m:r>
          </m:e>
          <m:sub>
            <m:r>
              <w:rPr>
                <w:rFonts w:ascii="Cambria Math" w:hAnsi="Cambria Math"/>
              </w:rPr>
              <m:t>1</m:t>
            </m:r>
          </m:sub>
        </m:sSub>
        <m:r>
          <w:rPr>
            <w:rFonts w:ascii="Cambria Math" w:hAnsi="Cambria Math"/>
          </w:rPr>
          <m:t>Hlthins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Hhrtcond + v</m:t>
        </m:r>
      </m:oMath>
      <w:r w:rsidR="00424374">
        <w:t xml:space="preserve"> , </w:t>
      </w:r>
      <w:r w:rsidR="00424374">
        <w:t xml:space="preserve">Using a t-test </w:t>
      </w:r>
      <w:r w:rsidR="00424374">
        <w:lastRenderedPageBreak/>
        <w:t xml:space="preserve">to test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0 </m:t>
        </m:r>
      </m:oMath>
      <w:r w:rsidR="00424374">
        <w:t>against the alternate hy</w:t>
      </w:r>
      <w:proofErr w:type="spellStart"/>
      <w:r w:rsidR="00424374">
        <w:t>pothesis</w:t>
      </w:r>
      <w:proofErr w:type="spellEnd"/>
      <w:r w:rsidR="00424374">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0</m:t>
        </m:r>
      </m:oMath>
      <w:r w:rsidR="00424374">
        <w:t xml:space="preserve">, we find that the t value is -3.58. As such, we reject the null hypothesis that </w:t>
      </w:r>
      <w:proofErr w:type="spellStart"/>
      <w:r w:rsidR="00424374">
        <w:t>Hlthins</w:t>
      </w:r>
      <w:proofErr w:type="spellEnd"/>
      <w:r w:rsidR="00424374">
        <w:t xml:space="preserve"> is exogenous at the 1% significance level, and so it is likely correlated with Advice.</w:t>
      </w:r>
    </w:p>
    <w:p w14:paraId="1ACF5639" w14:textId="261DAEAF" w:rsidR="00D47A8D" w:rsidRDefault="00D47A8D" w:rsidP="00253F53"/>
    <w:p w14:paraId="472530A9" w14:textId="77777777" w:rsidR="00424374" w:rsidRPr="0044518A" w:rsidRDefault="00424374" w:rsidP="00424374">
      <w:r>
        <w:t xml:space="preserve">Saving the residuals from this regression as </w:t>
      </w:r>
      <m:oMath>
        <m:acc>
          <m:accPr>
            <m:ctrlPr>
              <w:rPr>
                <w:rFonts w:ascii="Cambria Math" w:hAnsi="Cambria Math"/>
                <w:i/>
              </w:rPr>
            </m:ctrlPr>
          </m:accPr>
          <m:e>
            <m:r>
              <w:rPr>
                <w:rFonts w:ascii="Cambria Math" w:hAnsi="Cambria Math"/>
              </w:rPr>
              <m:t>v</m:t>
            </m:r>
          </m:e>
        </m:acc>
      </m:oMath>
      <w:r>
        <w:t xml:space="preserve"> , we further test that Advice is endog</w:t>
      </w:r>
      <w:proofErr w:type="spellStart"/>
      <w:r>
        <w:t>enous</w:t>
      </w:r>
      <w:proofErr w:type="spellEnd"/>
      <w:r>
        <w:t xml:space="preserve"> through another OLS regression on: </w:t>
      </w:r>
      <m:oMath>
        <m:r>
          <w:rPr>
            <w:rFonts w:ascii="Cambria Math" w:hAnsi="Cambria Math"/>
          </w:rPr>
          <m:t>Drinks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Advice+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Editinc+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Unemploy+</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Hhrtcond +δ</m:t>
        </m:r>
        <m:acc>
          <m:accPr>
            <m:ctrlPr>
              <w:rPr>
                <w:rFonts w:ascii="Cambria Math" w:hAnsi="Cambria Math"/>
                <w:i/>
              </w:rPr>
            </m:ctrlPr>
          </m:accPr>
          <m:e>
            <m:r>
              <w:rPr>
                <w:rFonts w:ascii="Cambria Math" w:hAnsi="Cambria Math"/>
              </w:rPr>
              <m:t>v</m:t>
            </m:r>
          </m:e>
        </m:acc>
        <m:r>
          <w:rPr>
            <w:rFonts w:ascii="Cambria Math" w:hAnsi="Cambria Math"/>
          </w:rPr>
          <m:t xml:space="preserve">+ u  </m:t>
        </m:r>
      </m:oMath>
    </w:p>
    <w:p w14:paraId="78C88E3F" w14:textId="77777777" w:rsidR="00424374" w:rsidRDefault="00424374" w:rsidP="00424374"/>
    <w:p w14:paraId="4105F256" w14:textId="77777777" w:rsidR="00424374" w:rsidRDefault="00424374" w:rsidP="00424374">
      <w:r>
        <w:t xml:space="preserve">Using the residual based-test for endogeneity, we test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δ = 0</m:t>
        </m:r>
      </m:oMath>
      <w:r w:rsidRPr="00684787">
        <w:t xml:space="preserve"> </w:t>
      </w:r>
      <w:r>
        <w:t xml:space="preserve">against the alternate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δ ≠ 0</m:t>
        </m:r>
      </m:oMath>
      <w:r>
        <w:t>. Here, we find that the t-value is -0.85 and so we fail to reject the null hypothesis at the 10% significance level. However, as the 2SLS estimates for Advice are vastly different from th</w:t>
      </w:r>
      <w:proofErr w:type="spellStart"/>
      <w:r>
        <w:t>e</w:t>
      </w:r>
      <w:proofErr w:type="spellEnd"/>
      <w:r>
        <w:t xml:space="preserve"> estimates using OLS, we treat Advice as endogenous.</w:t>
      </w:r>
    </w:p>
    <w:p w14:paraId="749B2F1F" w14:textId="77777777" w:rsidR="00DC0FA8" w:rsidRDefault="00DC0FA8" w:rsidP="00253F53"/>
    <w:p w14:paraId="3B351D5B" w14:textId="28B9CE84" w:rsidR="00C771C3" w:rsidRDefault="00424374" w:rsidP="00253F53">
      <w:r>
        <w:t>As such, the 2SLS assumptions of an endogenous variable and instrument relevance is satiated, though we are unable to determine if there is instrument exogeneity. There, we must rely on economic theory.</w:t>
      </w:r>
    </w:p>
    <w:p w14:paraId="621593CD" w14:textId="70D4175B" w:rsidR="00424374" w:rsidRDefault="00424374" w:rsidP="00253F53"/>
    <w:p w14:paraId="4250724E" w14:textId="27F345CB" w:rsidR="008019A6" w:rsidRDefault="002F2A39" w:rsidP="00253F53">
      <w:r>
        <w:t xml:space="preserve">However, when we </w:t>
      </w:r>
      <w:r w:rsidR="00A6084A">
        <w:t xml:space="preserve">control for endogeneity, we find that </w:t>
      </w:r>
      <w:r w:rsidR="008019A6">
        <w:t xml:space="preserve">the magnitude of Advice becomes </w:t>
      </w:r>
      <w:r w:rsidR="00B94A6F">
        <w:t xml:space="preserve">even greater than before, counter to expectations. However, the standard error also increases, meaning that </w:t>
      </w:r>
      <w:r w:rsidR="00B94A6F" w:rsidRPr="00A6084A">
        <w:t xml:space="preserve">we </w:t>
      </w:r>
      <w:r w:rsidR="00B94A6F">
        <w:t xml:space="preserve">fail to </w:t>
      </w:r>
      <w:r w:rsidR="00B94A6F" w:rsidRPr="00A6084A">
        <w:t xml:space="preserve">reject the </w:t>
      </w:r>
      <w:r w:rsidR="00B94A6F">
        <w:t>null hypothesis</w:t>
      </w:r>
      <w:r w:rsidR="00B94A6F">
        <w:t xml:space="preserve"> that the coefficient on advice is 0 at the 20% significance level. </w:t>
      </w:r>
    </w:p>
    <w:p w14:paraId="3AC9565C" w14:textId="5902EA8D" w:rsidR="000B3D51" w:rsidRDefault="000B3D51" w:rsidP="00253F53"/>
    <w:p w14:paraId="5FED08F9" w14:textId="7596E75C" w:rsidR="000B3D51" w:rsidRDefault="000B3D51" w:rsidP="00253F53">
      <w:r>
        <w:t>When we further control for the probability mass at zero as well as the non-negative nature of drinks alongside endogeneity through a tobit model, we find that the average partial effect of advice on drinks is that receiving advice correlates with 12.59 extra drinks consumed within the last two weeks. This is less than the 2SLS effects but more than the OLS estimates, implying that accounting for endogeneity actually further supports the counterintuitive result.</w:t>
      </w:r>
      <w:r w:rsidR="00EE300A">
        <w:t xml:space="preserve"> </w:t>
      </w:r>
    </w:p>
    <w:p w14:paraId="1A96967B" w14:textId="1E17A149" w:rsidR="008019A6" w:rsidRDefault="008019A6" w:rsidP="00253F53"/>
    <w:p w14:paraId="26F10C0A" w14:textId="5088B778" w:rsidR="00EB2C14" w:rsidRDefault="008019A6" w:rsidP="00B94A6F">
      <w:r>
        <w:t>Comparing across all the results, we find that the signs and magnitudes of the estimates for advice are robust to the variations in assumptions surrounding dealing with endogeneity and data features , with a strong positive correlation between receiving advice and drinking more.</w:t>
      </w:r>
      <w:r w:rsidR="000B3D51">
        <w:t xml:space="preserve"> These results are likely too positive to be credible, going against previous literature.</w:t>
      </w:r>
    </w:p>
    <w:p w14:paraId="7097B926" w14:textId="77777777" w:rsidR="00B94A6F" w:rsidRPr="00B94A6F" w:rsidRDefault="00B94A6F" w:rsidP="00B94A6F">
      <w:pPr>
        <w:rPr>
          <w:lang w:val="en-AU"/>
        </w:rPr>
      </w:pPr>
    </w:p>
    <w:p w14:paraId="776D1F60" w14:textId="6C58D505" w:rsidR="001E1AEE" w:rsidRDefault="001E1AEE" w:rsidP="001E1AEE">
      <w:pPr>
        <w:pStyle w:val="Heading2"/>
      </w:pPr>
      <w:r>
        <w:t>6 Conclusion</w:t>
      </w:r>
    </w:p>
    <w:p w14:paraId="2D8CA748" w14:textId="77777777" w:rsidR="00253F53" w:rsidRDefault="00253F53" w:rsidP="00253F53"/>
    <w:p w14:paraId="073E8F0C" w14:textId="0C267F22" w:rsidR="008019A6" w:rsidRDefault="00F06938" w:rsidP="00F06938">
      <w:pPr>
        <w:rPr>
          <w:bCs/>
        </w:rPr>
      </w:pPr>
      <w:r>
        <w:rPr>
          <w:bCs/>
        </w:rPr>
        <w:t xml:space="preserve">Here, we estimate the effects of physician advice on alcohol consumption to be positive and large in magnitude, where our tobit model indicates that receiving advice </w:t>
      </w:r>
      <w:r>
        <w:t>has</w:t>
      </w:r>
      <w:r>
        <w:t xml:space="preserve"> an average partial effect of increasing </w:t>
      </w:r>
      <w:r>
        <w:t>alcohol consumption</w:t>
      </w:r>
      <w:r>
        <w:t xml:space="preserve"> by 12.59</w:t>
      </w:r>
      <w:r>
        <w:t xml:space="preserve"> drinks</w:t>
      </w:r>
      <w:r>
        <w:t xml:space="preserve"> compared to people who have not received such an intervention</w:t>
      </w:r>
      <w:r>
        <w:rPr>
          <w:bCs/>
        </w:rPr>
        <w:t>. This is robust to changes in our assumptions and models, however we suspect that there may be a problem with accounting for endogeneity as these results go against other literature on the topic.</w:t>
      </w:r>
    </w:p>
    <w:p w14:paraId="06026EB8" w14:textId="77777777" w:rsidR="008019A6" w:rsidRDefault="008019A6" w:rsidP="008019A6">
      <w:pPr>
        <w:rPr>
          <w:bCs/>
        </w:rPr>
      </w:pPr>
    </w:p>
    <w:p w14:paraId="265E3487" w14:textId="1D40B83D" w:rsidR="008019A6" w:rsidRDefault="008019A6" w:rsidP="008019A6">
      <w:pPr>
        <w:rPr>
          <w:bCs/>
        </w:rPr>
      </w:pPr>
      <w:r>
        <w:rPr>
          <w:bCs/>
        </w:rPr>
        <w:t xml:space="preserve">Although these results goes against previous literature, it may be possible that the real-world effects of advice are different than in controlled experiments. In the unlikely event that further evidence supports the idea that physician advice actually increases alcohol consumption, this may have the policy implication that physicians should rely less on granting advice and possibly </w:t>
      </w:r>
      <w:r>
        <w:rPr>
          <w:bCs/>
        </w:rPr>
        <w:lastRenderedPageBreak/>
        <w:t xml:space="preserve">more on intrusive methods such as counseling. </w:t>
      </w:r>
      <w:r w:rsidRPr="00DF67B2">
        <w:rPr>
          <w:bCs/>
        </w:rPr>
        <w:t xml:space="preserve">In order to control alcohol consumption, it may also be more cost-effective to rely on methods to change the country’s culture such that people view alcohol poorly, akin to smoking. This may be done with advertisements associating alcohol with </w:t>
      </w:r>
      <w:r>
        <w:rPr>
          <w:bCs/>
        </w:rPr>
        <w:t xml:space="preserve">a </w:t>
      </w:r>
      <w:r w:rsidRPr="00DF67B2">
        <w:rPr>
          <w:bCs/>
        </w:rPr>
        <w:t>lower-class</w:t>
      </w:r>
      <w:r>
        <w:rPr>
          <w:bCs/>
        </w:rPr>
        <w:t xml:space="preserve"> lifestyle</w:t>
      </w:r>
      <w:r w:rsidRPr="00DF67B2">
        <w:rPr>
          <w:bCs/>
        </w:rPr>
        <w:t xml:space="preserve"> for example.  </w:t>
      </w:r>
      <w:r w:rsidRPr="00DF67B2">
        <w:rPr>
          <w:bCs/>
        </w:rPr>
        <w:tab/>
      </w:r>
    </w:p>
    <w:p w14:paraId="0711F4EA" w14:textId="77777777" w:rsidR="008019A6" w:rsidRDefault="008019A6" w:rsidP="008019A6">
      <w:pPr>
        <w:rPr>
          <w:bCs/>
        </w:rPr>
      </w:pPr>
    </w:p>
    <w:p w14:paraId="29B54859" w14:textId="08DCCCF6" w:rsidR="001E1AEE" w:rsidRDefault="008019A6" w:rsidP="00F06938">
      <w:r>
        <w:t>There are issues that are not resolved within this paper. As the instrumental variable is suspect, we would like to collect data on the effects of peer-pressure on alcohol consumption using proxy variables such as self-assessed ordinal data on the frequency with which other people influence their levels of alcohol consumption. Moreover, we desire data on the effects of health-conscientiousness on alcohol consumption. It may be possible to collect data on a person’s average level of exercise per week in order to act as another a proxy variable.</w:t>
      </w:r>
    </w:p>
    <w:p w14:paraId="19AFA61A" w14:textId="77777777" w:rsidR="00EB2C14" w:rsidRPr="00F06938" w:rsidRDefault="00EB2C14" w:rsidP="00F06938"/>
    <w:p w14:paraId="0327AA65" w14:textId="19E01101" w:rsidR="00253F53" w:rsidRDefault="001E1AEE" w:rsidP="00253F53">
      <w:pPr>
        <w:pStyle w:val="Heading2"/>
      </w:pPr>
      <w:r>
        <w:t>7 References</w:t>
      </w:r>
    </w:p>
    <w:p w14:paraId="43F91154" w14:textId="77777777" w:rsidR="00253F53" w:rsidRPr="00253F53" w:rsidRDefault="00253F53" w:rsidP="00253F53">
      <w:pPr>
        <w:rPr>
          <w:lang w:val="en-AU"/>
        </w:rPr>
      </w:pPr>
    </w:p>
    <w:p w14:paraId="23C09552" w14:textId="77777777" w:rsidR="00253F53" w:rsidRDefault="00253F53" w:rsidP="00253F53">
      <w:r>
        <w:t xml:space="preserve">Fleming MF, Lawton Barry K, Baier </w:t>
      </w:r>
      <w:proofErr w:type="spellStart"/>
      <w:r>
        <w:t>Manwell</w:t>
      </w:r>
      <w:proofErr w:type="spellEnd"/>
      <w:r>
        <w:t xml:space="preserve"> L, Johnson K, London R. 1997. Brief physician advice for problem alcohol drinkers: a randomized controlled trial in community-based primary care practices. </w:t>
      </w:r>
      <w:r w:rsidRPr="00B3750B">
        <w:rPr>
          <w:i/>
          <w:iCs/>
        </w:rPr>
        <w:t>JAMA</w:t>
      </w:r>
      <w:r>
        <w:t xml:space="preserve"> </w:t>
      </w:r>
      <w:r w:rsidRPr="00B3750B">
        <w:rPr>
          <w:b/>
          <w:bCs/>
        </w:rPr>
        <w:t>277</w:t>
      </w:r>
      <w:r>
        <w:t>: 1039–1045.</w:t>
      </w:r>
    </w:p>
    <w:p w14:paraId="2E2D4036" w14:textId="77777777" w:rsidR="00253F53" w:rsidRDefault="00253F53" w:rsidP="00253F53"/>
    <w:p w14:paraId="190524CC" w14:textId="02D82994" w:rsidR="00253F53" w:rsidRDefault="00253F53" w:rsidP="00253F53">
      <w:proofErr w:type="spellStart"/>
      <w:r>
        <w:t>Kenkel</w:t>
      </w:r>
      <w:proofErr w:type="spellEnd"/>
      <w:r>
        <w:t xml:space="preserve"> DS, Terza JV. 2001. The effect of physician advice on alcohol consumption: count regression with an endogenous treatment effect. </w:t>
      </w:r>
      <w:r w:rsidRPr="00B3750B">
        <w:rPr>
          <w:i/>
          <w:iCs/>
        </w:rPr>
        <w:t>Journal of Applied Econometrics</w:t>
      </w:r>
      <w:r>
        <w:t xml:space="preserve"> </w:t>
      </w:r>
      <w:r w:rsidRPr="00B3750B">
        <w:rPr>
          <w:b/>
          <w:bCs/>
        </w:rPr>
        <w:t>16</w:t>
      </w:r>
      <w:r>
        <w:t>: 165-184</w:t>
      </w:r>
    </w:p>
    <w:p w14:paraId="75615D07" w14:textId="77777777" w:rsidR="00253F53" w:rsidRDefault="00253F53" w:rsidP="00253F53">
      <w:pPr>
        <w:rPr>
          <w:b/>
        </w:rPr>
      </w:pPr>
    </w:p>
    <w:p w14:paraId="333ADB37" w14:textId="77777777" w:rsidR="00253F53" w:rsidRDefault="00253F53" w:rsidP="00253F53">
      <w:pPr>
        <w:rPr>
          <w:bCs/>
        </w:rPr>
      </w:pPr>
      <w:r w:rsidRPr="00943FF3">
        <w:rPr>
          <w:bCs/>
        </w:rPr>
        <w:t>US Department of Health and Human Services. 1993. Eighth Special Report to the U.S. Congress on Alcohol</w:t>
      </w:r>
      <w:r>
        <w:rPr>
          <w:bCs/>
        </w:rPr>
        <w:t xml:space="preserve"> </w:t>
      </w:r>
      <w:r w:rsidRPr="00943FF3">
        <w:rPr>
          <w:bCs/>
        </w:rPr>
        <w:t>and Health.</w:t>
      </w:r>
    </w:p>
    <w:p w14:paraId="73F8A89D" w14:textId="77777777" w:rsidR="00253F53" w:rsidRDefault="00253F53" w:rsidP="00253F53">
      <w:pPr>
        <w:rPr>
          <w:bCs/>
        </w:rPr>
      </w:pPr>
    </w:p>
    <w:p w14:paraId="256994DC" w14:textId="77777777" w:rsidR="00253F53" w:rsidRDefault="00253F53" w:rsidP="00253F53">
      <w:r>
        <w:t xml:space="preserve">World Health Organization Brief Intervention Study Group. 1996. A cross-national trial of brief interventions with heavy drinkers. </w:t>
      </w:r>
      <w:r w:rsidRPr="00B3750B">
        <w:rPr>
          <w:i/>
          <w:iCs/>
        </w:rPr>
        <w:t>American Journal of Public Health</w:t>
      </w:r>
      <w:r>
        <w:t xml:space="preserve"> </w:t>
      </w:r>
      <w:r w:rsidRPr="00B3750B">
        <w:rPr>
          <w:b/>
          <w:bCs/>
        </w:rPr>
        <w:t>86</w:t>
      </w:r>
      <w:r>
        <w:t>(7): 948–955.</w:t>
      </w:r>
    </w:p>
    <w:p w14:paraId="5E807F48" w14:textId="77777777" w:rsidR="00253F53" w:rsidRDefault="00253F53" w:rsidP="00253F53"/>
    <w:p w14:paraId="029FD250" w14:textId="77777777" w:rsidR="00253F53" w:rsidRDefault="00253F53" w:rsidP="00253F53">
      <w:r>
        <w:t xml:space="preserve">Woolridge JM. 2013. </w:t>
      </w:r>
      <w:r w:rsidRPr="00A70EB2">
        <w:rPr>
          <w:i/>
          <w:iCs/>
        </w:rPr>
        <w:t>Introductory Econometrics A Modern Approach</w:t>
      </w:r>
      <w:r>
        <w:rPr>
          <w:i/>
          <w:iCs/>
        </w:rPr>
        <w:t>.</w:t>
      </w:r>
      <w:r>
        <w:t xml:space="preserve"> 5</w:t>
      </w:r>
      <w:r w:rsidRPr="00A70EB2">
        <w:rPr>
          <w:vertAlign w:val="superscript"/>
        </w:rPr>
        <w:t>th</w:t>
      </w:r>
      <w:r>
        <w:t xml:space="preserve"> Edition. Cengage Learning: Mason</w:t>
      </w:r>
    </w:p>
    <w:p w14:paraId="487D87F1" w14:textId="0EDDFE1E" w:rsidR="00B94A6F" w:rsidRPr="00D407C0" w:rsidRDefault="00B94A6F" w:rsidP="00E3628B">
      <w:pPr>
        <w:spacing w:before="120" w:after="120" w:line="276" w:lineRule="auto"/>
        <w:rPr>
          <w:sz w:val="22"/>
          <w:szCs w:val="22"/>
          <w:lang w:val="en-AU"/>
        </w:rPr>
      </w:pPr>
    </w:p>
    <w:sectPr w:rsidR="00B94A6F" w:rsidRPr="00D407C0" w:rsidSect="00EC4A5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C5BD0" w14:textId="77777777" w:rsidR="00C93F49" w:rsidRDefault="00C93F49" w:rsidP="007C1FC1">
      <w:r>
        <w:separator/>
      </w:r>
    </w:p>
  </w:endnote>
  <w:endnote w:type="continuationSeparator" w:id="0">
    <w:p w14:paraId="5A965FD8" w14:textId="77777777" w:rsidR="00C93F49" w:rsidRDefault="00C93F49" w:rsidP="007C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tima LT Std">
    <w:altName w:val="Malgun Gothic"/>
    <w:panose1 w:val="00000000000000000000"/>
    <w:charset w:val="00"/>
    <w:family w:val="swiss"/>
    <w:notTrueType/>
    <w:pitch w:val="variable"/>
    <w:sig w:usb0="800000AF" w:usb1="4000204A" w:usb2="00000000" w:usb3="00000000" w:csb0="00000001" w:csb1="00000000"/>
  </w:font>
  <w:font w:name="汉鼎简中楷">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95540"/>
      <w:docPartObj>
        <w:docPartGallery w:val="Page Numbers (Bottom of Page)"/>
        <w:docPartUnique/>
      </w:docPartObj>
    </w:sdtPr>
    <w:sdtContent>
      <w:sdt>
        <w:sdtPr>
          <w:id w:val="1728636285"/>
          <w:docPartObj>
            <w:docPartGallery w:val="Page Numbers (Top of Page)"/>
            <w:docPartUnique/>
          </w:docPartObj>
        </w:sdtPr>
        <w:sdtContent>
          <w:p w14:paraId="5E44BF77" w14:textId="77777777" w:rsidR="0042596B" w:rsidRDefault="0042596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E72190B" w14:textId="77777777" w:rsidR="0042596B" w:rsidRDefault="00425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7400F" w14:textId="77777777" w:rsidR="00C93F49" w:rsidRDefault="00C93F49" w:rsidP="007C1FC1">
      <w:r>
        <w:separator/>
      </w:r>
    </w:p>
  </w:footnote>
  <w:footnote w:type="continuationSeparator" w:id="0">
    <w:p w14:paraId="546BDB0A" w14:textId="77777777" w:rsidR="00C93F49" w:rsidRDefault="00C93F49" w:rsidP="007C1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4578"/>
    <w:multiLevelType w:val="hybridMultilevel"/>
    <w:tmpl w:val="7102D1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3C11A2"/>
    <w:multiLevelType w:val="hybridMultilevel"/>
    <w:tmpl w:val="33DAA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25211"/>
    <w:multiLevelType w:val="hybridMultilevel"/>
    <w:tmpl w:val="B810D00C"/>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9B33D8"/>
    <w:multiLevelType w:val="hybridMultilevel"/>
    <w:tmpl w:val="8354C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3790"/>
    <w:multiLevelType w:val="hybridMultilevel"/>
    <w:tmpl w:val="AF7C9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F52D1"/>
    <w:multiLevelType w:val="hybridMultilevel"/>
    <w:tmpl w:val="B4549336"/>
    <w:lvl w:ilvl="0" w:tplc="D406693E">
      <w:start w:val="1"/>
      <w:numFmt w:val="lowerRoman"/>
      <w:lvlText w:val="(%1)"/>
      <w:lvlJc w:val="left"/>
      <w:pPr>
        <w:ind w:left="1080" w:hanging="360"/>
      </w:pPr>
      <w:rPr>
        <w:rFonts w:hint="eastAsia"/>
      </w:rPr>
    </w:lvl>
    <w:lvl w:ilvl="1" w:tplc="D406693E">
      <w:start w:val="1"/>
      <w:numFmt w:val="lowerRoman"/>
      <w:lvlText w:val="(%2)"/>
      <w:lvlJc w:val="left"/>
      <w:pPr>
        <w:ind w:left="1800" w:hanging="360"/>
      </w:pPr>
      <w:rPr>
        <w:rFonts w:hint="eastAsia"/>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ACF7021"/>
    <w:multiLevelType w:val="hybridMultilevel"/>
    <w:tmpl w:val="D9F4027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6837D61"/>
    <w:multiLevelType w:val="hybridMultilevel"/>
    <w:tmpl w:val="803CDD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684326B"/>
    <w:multiLevelType w:val="hybridMultilevel"/>
    <w:tmpl w:val="1CBC9C84"/>
    <w:lvl w:ilvl="0" w:tplc="0C09000F">
      <w:start w:val="1"/>
      <w:numFmt w:val="decimal"/>
      <w:lvlText w:val="%1."/>
      <w:lvlJc w:val="left"/>
      <w:pPr>
        <w:ind w:left="360" w:hanging="360"/>
      </w:pPr>
      <w:rPr>
        <w:rFonts w:hint="default"/>
      </w:rPr>
    </w:lvl>
    <w:lvl w:ilvl="1" w:tplc="21F29706">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CB77763"/>
    <w:multiLevelType w:val="hybridMultilevel"/>
    <w:tmpl w:val="FD60E6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2E20A7"/>
    <w:multiLevelType w:val="hybridMultilevel"/>
    <w:tmpl w:val="B3400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D7715D"/>
    <w:multiLevelType w:val="hybridMultilevel"/>
    <w:tmpl w:val="BC383DE6"/>
    <w:lvl w:ilvl="0" w:tplc="2BC6A03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B4449B"/>
    <w:multiLevelType w:val="hybridMultilevel"/>
    <w:tmpl w:val="F8764C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4C073C"/>
    <w:multiLevelType w:val="hybridMultilevel"/>
    <w:tmpl w:val="5D646066"/>
    <w:lvl w:ilvl="0" w:tplc="D406693E">
      <w:start w:val="1"/>
      <w:numFmt w:val="lowerRoman"/>
      <w:lvlText w:val="(%1)"/>
      <w:lvlJc w:val="left"/>
      <w:pPr>
        <w:ind w:left="1080" w:hanging="360"/>
      </w:pPr>
      <w:rPr>
        <w:rFonts w:hint="eastAsia"/>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A9F4308"/>
    <w:multiLevelType w:val="hybridMultilevel"/>
    <w:tmpl w:val="7F6A9D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656F4E"/>
    <w:multiLevelType w:val="hybridMultilevel"/>
    <w:tmpl w:val="1AB84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463CE"/>
    <w:multiLevelType w:val="hybridMultilevel"/>
    <w:tmpl w:val="1938D8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5B9262E"/>
    <w:multiLevelType w:val="hybridMultilevel"/>
    <w:tmpl w:val="D1DC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66939"/>
    <w:multiLevelType w:val="hybridMultilevel"/>
    <w:tmpl w:val="75D4A592"/>
    <w:lvl w:ilvl="0" w:tplc="19203A24">
      <w:start w:val="1"/>
      <w:numFmt w:val="lowerLetter"/>
      <w:lvlText w:val="(%1)"/>
      <w:lvlJc w:val="left"/>
      <w:pPr>
        <w:ind w:left="360" w:hanging="360"/>
      </w:pPr>
      <w:rPr>
        <w:rFonts w:hint="eastAsia"/>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6E91479"/>
    <w:multiLevelType w:val="hybridMultilevel"/>
    <w:tmpl w:val="26C6F5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8564379"/>
    <w:multiLevelType w:val="hybridMultilevel"/>
    <w:tmpl w:val="5296D4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B6536A5"/>
    <w:multiLevelType w:val="hybridMultilevel"/>
    <w:tmpl w:val="B86E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4"/>
  </w:num>
  <w:num w:numId="4">
    <w:abstractNumId w:val="3"/>
  </w:num>
  <w:num w:numId="5">
    <w:abstractNumId w:val="17"/>
  </w:num>
  <w:num w:numId="6">
    <w:abstractNumId w:val="10"/>
  </w:num>
  <w:num w:numId="7">
    <w:abstractNumId w:val="1"/>
  </w:num>
  <w:num w:numId="8">
    <w:abstractNumId w:val="19"/>
  </w:num>
  <w:num w:numId="9">
    <w:abstractNumId w:val="11"/>
  </w:num>
  <w:num w:numId="10">
    <w:abstractNumId w:val="6"/>
  </w:num>
  <w:num w:numId="11">
    <w:abstractNumId w:val="8"/>
  </w:num>
  <w:num w:numId="12">
    <w:abstractNumId w:val="18"/>
  </w:num>
  <w:num w:numId="13">
    <w:abstractNumId w:val="7"/>
  </w:num>
  <w:num w:numId="14">
    <w:abstractNumId w:val="14"/>
  </w:num>
  <w:num w:numId="15">
    <w:abstractNumId w:val="16"/>
  </w:num>
  <w:num w:numId="16">
    <w:abstractNumId w:val="2"/>
  </w:num>
  <w:num w:numId="17">
    <w:abstractNumId w:val="0"/>
  </w:num>
  <w:num w:numId="18">
    <w:abstractNumId w:val="9"/>
  </w:num>
  <w:num w:numId="19">
    <w:abstractNumId w:val="12"/>
  </w:num>
  <w:num w:numId="20">
    <w:abstractNumId w:val="13"/>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1488"/>
    <w:rsid w:val="000034DB"/>
    <w:rsid w:val="00005D92"/>
    <w:rsid w:val="00012A85"/>
    <w:rsid w:val="000217BD"/>
    <w:rsid w:val="000227DA"/>
    <w:rsid w:val="00022912"/>
    <w:rsid w:val="00022C4D"/>
    <w:rsid w:val="0002388B"/>
    <w:rsid w:val="00024488"/>
    <w:rsid w:val="00026339"/>
    <w:rsid w:val="00031D18"/>
    <w:rsid w:val="00033CDF"/>
    <w:rsid w:val="00033DA2"/>
    <w:rsid w:val="00035DFB"/>
    <w:rsid w:val="00040295"/>
    <w:rsid w:val="00045FE4"/>
    <w:rsid w:val="000467DF"/>
    <w:rsid w:val="00047552"/>
    <w:rsid w:val="00047CFD"/>
    <w:rsid w:val="00062CA6"/>
    <w:rsid w:val="00063B6F"/>
    <w:rsid w:val="00067ED7"/>
    <w:rsid w:val="0007071A"/>
    <w:rsid w:val="00084965"/>
    <w:rsid w:val="0008749B"/>
    <w:rsid w:val="00091FFF"/>
    <w:rsid w:val="00094FDD"/>
    <w:rsid w:val="000A11C1"/>
    <w:rsid w:val="000A36E8"/>
    <w:rsid w:val="000A5013"/>
    <w:rsid w:val="000A61FA"/>
    <w:rsid w:val="000B26F5"/>
    <w:rsid w:val="000B3D51"/>
    <w:rsid w:val="000B6784"/>
    <w:rsid w:val="000B6E53"/>
    <w:rsid w:val="000B6ECA"/>
    <w:rsid w:val="000C1488"/>
    <w:rsid w:val="000C1917"/>
    <w:rsid w:val="000C1943"/>
    <w:rsid w:val="000C29BF"/>
    <w:rsid w:val="000C7EB5"/>
    <w:rsid w:val="000D7DE6"/>
    <w:rsid w:val="000E009A"/>
    <w:rsid w:val="000E2151"/>
    <w:rsid w:val="000E2ED0"/>
    <w:rsid w:val="000F6E6B"/>
    <w:rsid w:val="0010266A"/>
    <w:rsid w:val="001045DE"/>
    <w:rsid w:val="00105175"/>
    <w:rsid w:val="00110EBB"/>
    <w:rsid w:val="00112BAF"/>
    <w:rsid w:val="00112CD3"/>
    <w:rsid w:val="0011436A"/>
    <w:rsid w:val="00120023"/>
    <w:rsid w:val="001243A3"/>
    <w:rsid w:val="00126D64"/>
    <w:rsid w:val="0013433E"/>
    <w:rsid w:val="001350F7"/>
    <w:rsid w:val="00137DF3"/>
    <w:rsid w:val="001420D0"/>
    <w:rsid w:val="001445DA"/>
    <w:rsid w:val="0015145F"/>
    <w:rsid w:val="0015671F"/>
    <w:rsid w:val="00156A52"/>
    <w:rsid w:val="00161A44"/>
    <w:rsid w:val="00162726"/>
    <w:rsid w:val="00163380"/>
    <w:rsid w:val="00164423"/>
    <w:rsid w:val="00165B28"/>
    <w:rsid w:val="00170CC9"/>
    <w:rsid w:val="00173A74"/>
    <w:rsid w:val="00174A1D"/>
    <w:rsid w:val="00177097"/>
    <w:rsid w:val="00177B9B"/>
    <w:rsid w:val="00181BEF"/>
    <w:rsid w:val="00181D26"/>
    <w:rsid w:val="001824F5"/>
    <w:rsid w:val="00186F6A"/>
    <w:rsid w:val="00190844"/>
    <w:rsid w:val="00193954"/>
    <w:rsid w:val="00195A57"/>
    <w:rsid w:val="00196DC1"/>
    <w:rsid w:val="001A5302"/>
    <w:rsid w:val="001A6003"/>
    <w:rsid w:val="001B0271"/>
    <w:rsid w:val="001B0F54"/>
    <w:rsid w:val="001B5D3C"/>
    <w:rsid w:val="001C03F1"/>
    <w:rsid w:val="001C218F"/>
    <w:rsid w:val="001C554C"/>
    <w:rsid w:val="001D032E"/>
    <w:rsid w:val="001D0AEF"/>
    <w:rsid w:val="001D5DBF"/>
    <w:rsid w:val="001E1AEE"/>
    <w:rsid w:val="001E23D2"/>
    <w:rsid w:val="001F16DB"/>
    <w:rsid w:val="001F322B"/>
    <w:rsid w:val="001F5671"/>
    <w:rsid w:val="0020345C"/>
    <w:rsid w:val="002044D6"/>
    <w:rsid w:val="0021577C"/>
    <w:rsid w:val="00217C58"/>
    <w:rsid w:val="00221D84"/>
    <w:rsid w:val="002225C6"/>
    <w:rsid w:val="002239F0"/>
    <w:rsid w:val="00224E41"/>
    <w:rsid w:val="00225563"/>
    <w:rsid w:val="00231828"/>
    <w:rsid w:val="002324AC"/>
    <w:rsid w:val="00232A75"/>
    <w:rsid w:val="00253F53"/>
    <w:rsid w:val="002571BE"/>
    <w:rsid w:val="00260EB8"/>
    <w:rsid w:val="00270A9E"/>
    <w:rsid w:val="0027176F"/>
    <w:rsid w:val="002738D6"/>
    <w:rsid w:val="00273DDA"/>
    <w:rsid w:val="0027494D"/>
    <w:rsid w:val="002778DE"/>
    <w:rsid w:val="002816F3"/>
    <w:rsid w:val="00283D45"/>
    <w:rsid w:val="00287912"/>
    <w:rsid w:val="002907FE"/>
    <w:rsid w:val="00290A24"/>
    <w:rsid w:val="00291C56"/>
    <w:rsid w:val="0029251D"/>
    <w:rsid w:val="00294403"/>
    <w:rsid w:val="00297A85"/>
    <w:rsid w:val="00297F91"/>
    <w:rsid w:val="002A2DDC"/>
    <w:rsid w:val="002B25E6"/>
    <w:rsid w:val="002B26A2"/>
    <w:rsid w:val="002C2E61"/>
    <w:rsid w:val="002C6A0A"/>
    <w:rsid w:val="002D055C"/>
    <w:rsid w:val="002D55BB"/>
    <w:rsid w:val="002D5CA5"/>
    <w:rsid w:val="002E1938"/>
    <w:rsid w:val="002E3AB5"/>
    <w:rsid w:val="002E53C0"/>
    <w:rsid w:val="002F263F"/>
    <w:rsid w:val="002F2A39"/>
    <w:rsid w:val="002F2FB0"/>
    <w:rsid w:val="002F532D"/>
    <w:rsid w:val="002F7866"/>
    <w:rsid w:val="00306CFD"/>
    <w:rsid w:val="00310FED"/>
    <w:rsid w:val="0031796B"/>
    <w:rsid w:val="00320ACF"/>
    <w:rsid w:val="003218B1"/>
    <w:rsid w:val="00321968"/>
    <w:rsid w:val="00333DB7"/>
    <w:rsid w:val="00334A34"/>
    <w:rsid w:val="00335B75"/>
    <w:rsid w:val="00340D9A"/>
    <w:rsid w:val="00341BE1"/>
    <w:rsid w:val="00343424"/>
    <w:rsid w:val="0034508E"/>
    <w:rsid w:val="003459CE"/>
    <w:rsid w:val="003464C1"/>
    <w:rsid w:val="003509C6"/>
    <w:rsid w:val="00356153"/>
    <w:rsid w:val="003607D1"/>
    <w:rsid w:val="00362A73"/>
    <w:rsid w:val="00362C4B"/>
    <w:rsid w:val="00365BD5"/>
    <w:rsid w:val="003677D2"/>
    <w:rsid w:val="003807AB"/>
    <w:rsid w:val="00381591"/>
    <w:rsid w:val="00381A67"/>
    <w:rsid w:val="00384609"/>
    <w:rsid w:val="00387D2D"/>
    <w:rsid w:val="00391200"/>
    <w:rsid w:val="00395135"/>
    <w:rsid w:val="003957C3"/>
    <w:rsid w:val="003967A3"/>
    <w:rsid w:val="003A3C4E"/>
    <w:rsid w:val="003B031B"/>
    <w:rsid w:val="003B11BC"/>
    <w:rsid w:val="003B261E"/>
    <w:rsid w:val="003B2AB8"/>
    <w:rsid w:val="003B53EE"/>
    <w:rsid w:val="003C2ADB"/>
    <w:rsid w:val="003C31DC"/>
    <w:rsid w:val="003C44E3"/>
    <w:rsid w:val="003C4EE6"/>
    <w:rsid w:val="003D0A57"/>
    <w:rsid w:val="003D0DFA"/>
    <w:rsid w:val="003D1106"/>
    <w:rsid w:val="003D754C"/>
    <w:rsid w:val="003E0D2F"/>
    <w:rsid w:val="003E4B25"/>
    <w:rsid w:val="003F4150"/>
    <w:rsid w:val="003F7EF1"/>
    <w:rsid w:val="004008C8"/>
    <w:rsid w:val="0040460B"/>
    <w:rsid w:val="00410EA5"/>
    <w:rsid w:val="0041198D"/>
    <w:rsid w:val="00412AC0"/>
    <w:rsid w:val="00412CE5"/>
    <w:rsid w:val="00414062"/>
    <w:rsid w:val="00416049"/>
    <w:rsid w:val="00416F1B"/>
    <w:rsid w:val="0041755F"/>
    <w:rsid w:val="00417CAF"/>
    <w:rsid w:val="004217D5"/>
    <w:rsid w:val="00424374"/>
    <w:rsid w:val="0042596B"/>
    <w:rsid w:val="00431D64"/>
    <w:rsid w:val="0043417A"/>
    <w:rsid w:val="00437882"/>
    <w:rsid w:val="00444284"/>
    <w:rsid w:val="0045111F"/>
    <w:rsid w:val="00453BDF"/>
    <w:rsid w:val="00454E4A"/>
    <w:rsid w:val="004572A9"/>
    <w:rsid w:val="00461054"/>
    <w:rsid w:val="0046437F"/>
    <w:rsid w:val="00466009"/>
    <w:rsid w:val="00467AC6"/>
    <w:rsid w:val="00472C22"/>
    <w:rsid w:val="00476AF1"/>
    <w:rsid w:val="00485B19"/>
    <w:rsid w:val="00486FD3"/>
    <w:rsid w:val="00487E52"/>
    <w:rsid w:val="00490BA1"/>
    <w:rsid w:val="0049277A"/>
    <w:rsid w:val="00495324"/>
    <w:rsid w:val="00496E8A"/>
    <w:rsid w:val="004A040B"/>
    <w:rsid w:val="004A274E"/>
    <w:rsid w:val="004A551E"/>
    <w:rsid w:val="004B6341"/>
    <w:rsid w:val="004C2890"/>
    <w:rsid w:val="004C6470"/>
    <w:rsid w:val="004C7060"/>
    <w:rsid w:val="004D0D8B"/>
    <w:rsid w:val="004D1941"/>
    <w:rsid w:val="004D1C63"/>
    <w:rsid w:val="004D4762"/>
    <w:rsid w:val="004D4BD5"/>
    <w:rsid w:val="004E0350"/>
    <w:rsid w:val="004E0941"/>
    <w:rsid w:val="004E2F9A"/>
    <w:rsid w:val="004E4759"/>
    <w:rsid w:val="004E4D6F"/>
    <w:rsid w:val="004E7557"/>
    <w:rsid w:val="004F00D6"/>
    <w:rsid w:val="004F4F04"/>
    <w:rsid w:val="004F5830"/>
    <w:rsid w:val="00500E77"/>
    <w:rsid w:val="005029AA"/>
    <w:rsid w:val="0051200C"/>
    <w:rsid w:val="00517D3E"/>
    <w:rsid w:val="00520CE7"/>
    <w:rsid w:val="00522488"/>
    <w:rsid w:val="005251EF"/>
    <w:rsid w:val="0052732D"/>
    <w:rsid w:val="005320D3"/>
    <w:rsid w:val="00537BA6"/>
    <w:rsid w:val="00541E4E"/>
    <w:rsid w:val="0054330D"/>
    <w:rsid w:val="00543BD4"/>
    <w:rsid w:val="00546EEB"/>
    <w:rsid w:val="0055210B"/>
    <w:rsid w:val="00552CB2"/>
    <w:rsid w:val="00554504"/>
    <w:rsid w:val="00555DF1"/>
    <w:rsid w:val="00561048"/>
    <w:rsid w:val="005659DA"/>
    <w:rsid w:val="005663D9"/>
    <w:rsid w:val="00566626"/>
    <w:rsid w:val="005720CC"/>
    <w:rsid w:val="005734DE"/>
    <w:rsid w:val="0057761F"/>
    <w:rsid w:val="005823C3"/>
    <w:rsid w:val="005869E0"/>
    <w:rsid w:val="00590871"/>
    <w:rsid w:val="0059296B"/>
    <w:rsid w:val="005A05C9"/>
    <w:rsid w:val="005A1813"/>
    <w:rsid w:val="005B00FB"/>
    <w:rsid w:val="005B18FE"/>
    <w:rsid w:val="005B1FAA"/>
    <w:rsid w:val="005B3015"/>
    <w:rsid w:val="005B39DD"/>
    <w:rsid w:val="005B6757"/>
    <w:rsid w:val="005C1335"/>
    <w:rsid w:val="005C28F3"/>
    <w:rsid w:val="005C45C9"/>
    <w:rsid w:val="005C4DDD"/>
    <w:rsid w:val="005C736E"/>
    <w:rsid w:val="005D1526"/>
    <w:rsid w:val="005D1784"/>
    <w:rsid w:val="005D3190"/>
    <w:rsid w:val="005D3AA8"/>
    <w:rsid w:val="005D3B98"/>
    <w:rsid w:val="005D7F20"/>
    <w:rsid w:val="005E04DA"/>
    <w:rsid w:val="005E066E"/>
    <w:rsid w:val="005E420A"/>
    <w:rsid w:val="005E5FB4"/>
    <w:rsid w:val="005F23BF"/>
    <w:rsid w:val="005F46F1"/>
    <w:rsid w:val="005F596F"/>
    <w:rsid w:val="005F6433"/>
    <w:rsid w:val="00601018"/>
    <w:rsid w:val="006012AC"/>
    <w:rsid w:val="0060327A"/>
    <w:rsid w:val="00603B7B"/>
    <w:rsid w:val="00604035"/>
    <w:rsid w:val="00607BA7"/>
    <w:rsid w:val="006108E6"/>
    <w:rsid w:val="006111AF"/>
    <w:rsid w:val="00613877"/>
    <w:rsid w:val="00613D51"/>
    <w:rsid w:val="00616D75"/>
    <w:rsid w:val="00616F1D"/>
    <w:rsid w:val="00621881"/>
    <w:rsid w:val="00631EA2"/>
    <w:rsid w:val="0063369F"/>
    <w:rsid w:val="00650B82"/>
    <w:rsid w:val="00651006"/>
    <w:rsid w:val="00651268"/>
    <w:rsid w:val="0065226C"/>
    <w:rsid w:val="0065560A"/>
    <w:rsid w:val="00655D7F"/>
    <w:rsid w:val="00656473"/>
    <w:rsid w:val="006608E9"/>
    <w:rsid w:val="00663143"/>
    <w:rsid w:val="006652A9"/>
    <w:rsid w:val="00671361"/>
    <w:rsid w:val="00671472"/>
    <w:rsid w:val="00674101"/>
    <w:rsid w:val="00674B28"/>
    <w:rsid w:val="006752B3"/>
    <w:rsid w:val="0067773F"/>
    <w:rsid w:val="006810A0"/>
    <w:rsid w:val="00684525"/>
    <w:rsid w:val="00684EDE"/>
    <w:rsid w:val="00694BE5"/>
    <w:rsid w:val="00696D9B"/>
    <w:rsid w:val="0069756D"/>
    <w:rsid w:val="006B793C"/>
    <w:rsid w:val="006C1909"/>
    <w:rsid w:val="006C29CB"/>
    <w:rsid w:val="006C3EF8"/>
    <w:rsid w:val="006C4530"/>
    <w:rsid w:val="006C54E4"/>
    <w:rsid w:val="006C63AE"/>
    <w:rsid w:val="006C6656"/>
    <w:rsid w:val="006C7438"/>
    <w:rsid w:val="006D715E"/>
    <w:rsid w:val="006E13FC"/>
    <w:rsid w:val="006E16F9"/>
    <w:rsid w:val="006E2C02"/>
    <w:rsid w:val="006E3E95"/>
    <w:rsid w:val="006E4F8F"/>
    <w:rsid w:val="006E733E"/>
    <w:rsid w:val="006F03F1"/>
    <w:rsid w:val="007027B9"/>
    <w:rsid w:val="00706947"/>
    <w:rsid w:val="00707FF4"/>
    <w:rsid w:val="0071155D"/>
    <w:rsid w:val="00717AE6"/>
    <w:rsid w:val="007213C0"/>
    <w:rsid w:val="00727BB3"/>
    <w:rsid w:val="0073018A"/>
    <w:rsid w:val="00737A40"/>
    <w:rsid w:val="00740A14"/>
    <w:rsid w:val="00742B07"/>
    <w:rsid w:val="00743B74"/>
    <w:rsid w:val="00743DDB"/>
    <w:rsid w:val="00746E51"/>
    <w:rsid w:val="00747195"/>
    <w:rsid w:val="00747CD0"/>
    <w:rsid w:val="0077374E"/>
    <w:rsid w:val="007750D4"/>
    <w:rsid w:val="00780F25"/>
    <w:rsid w:val="00781DBB"/>
    <w:rsid w:val="0078329D"/>
    <w:rsid w:val="00786D5F"/>
    <w:rsid w:val="00787B82"/>
    <w:rsid w:val="00790625"/>
    <w:rsid w:val="00790E95"/>
    <w:rsid w:val="00792282"/>
    <w:rsid w:val="00795457"/>
    <w:rsid w:val="0079673E"/>
    <w:rsid w:val="00796A0B"/>
    <w:rsid w:val="00796B11"/>
    <w:rsid w:val="007A19DD"/>
    <w:rsid w:val="007A2951"/>
    <w:rsid w:val="007A4813"/>
    <w:rsid w:val="007A485F"/>
    <w:rsid w:val="007A6C35"/>
    <w:rsid w:val="007B1EEA"/>
    <w:rsid w:val="007B5AC7"/>
    <w:rsid w:val="007B6A5A"/>
    <w:rsid w:val="007C1FC1"/>
    <w:rsid w:val="007C52A3"/>
    <w:rsid w:val="007D50EF"/>
    <w:rsid w:val="007D56F5"/>
    <w:rsid w:val="007D7F8B"/>
    <w:rsid w:val="007E3E11"/>
    <w:rsid w:val="007E67C5"/>
    <w:rsid w:val="007F0118"/>
    <w:rsid w:val="007F0210"/>
    <w:rsid w:val="007F25C4"/>
    <w:rsid w:val="008019A6"/>
    <w:rsid w:val="00806C53"/>
    <w:rsid w:val="008139F2"/>
    <w:rsid w:val="0081677E"/>
    <w:rsid w:val="008174B2"/>
    <w:rsid w:val="008225A7"/>
    <w:rsid w:val="0082758D"/>
    <w:rsid w:val="00834E2F"/>
    <w:rsid w:val="00835238"/>
    <w:rsid w:val="008352AB"/>
    <w:rsid w:val="008402C3"/>
    <w:rsid w:val="00840329"/>
    <w:rsid w:val="008532BD"/>
    <w:rsid w:val="00855486"/>
    <w:rsid w:val="0087384F"/>
    <w:rsid w:val="008755E4"/>
    <w:rsid w:val="008817B1"/>
    <w:rsid w:val="00882785"/>
    <w:rsid w:val="0088527A"/>
    <w:rsid w:val="008877F4"/>
    <w:rsid w:val="0089226E"/>
    <w:rsid w:val="00893798"/>
    <w:rsid w:val="008945CB"/>
    <w:rsid w:val="00895561"/>
    <w:rsid w:val="00897CFC"/>
    <w:rsid w:val="008A2209"/>
    <w:rsid w:val="008A423D"/>
    <w:rsid w:val="008A5045"/>
    <w:rsid w:val="008A622E"/>
    <w:rsid w:val="008A670C"/>
    <w:rsid w:val="008A76D4"/>
    <w:rsid w:val="008B643F"/>
    <w:rsid w:val="008C3E7F"/>
    <w:rsid w:val="008D00D7"/>
    <w:rsid w:val="008D17B5"/>
    <w:rsid w:val="008D2C2C"/>
    <w:rsid w:val="008D3AB1"/>
    <w:rsid w:val="008D5A5E"/>
    <w:rsid w:val="008E2CCC"/>
    <w:rsid w:val="008E31A6"/>
    <w:rsid w:val="008E3395"/>
    <w:rsid w:val="008E582F"/>
    <w:rsid w:val="008E625B"/>
    <w:rsid w:val="008E63BB"/>
    <w:rsid w:val="008E75C5"/>
    <w:rsid w:val="008F1A2D"/>
    <w:rsid w:val="009016E5"/>
    <w:rsid w:val="009038D8"/>
    <w:rsid w:val="0090748C"/>
    <w:rsid w:val="00907C8A"/>
    <w:rsid w:val="00911282"/>
    <w:rsid w:val="0091381A"/>
    <w:rsid w:val="009160ED"/>
    <w:rsid w:val="00916294"/>
    <w:rsid w:val="00916D84"/>
    <w:rsid w:val="00916F84"/>
    <w:rsid w:val="009209BA"/>
    <w:rsid w:val="00921110"/>
    <w:rsid w:val="00926B81"/>
    <w:rsid w:val="00927471"/>
    <w:rsid w:val="00927916"/>
    <w:rsid w:val="00927945"/>
    <w:rsid w:val="00930D4D"/>
    <w:rsid w:val="00934414"/>
    <w:rsid w:val="009359C5"/>
    <w:rsid w:val="009408F1"/>
    <w:rsid w:val="00941613"/>
    <w:rsid w:val="009442FD"/>
    <w:rsid w:val="0094651D"/>
    <w:rsid w:val="009471A7"/>
    <w:rsid w:val="00951AF5"/>
    <w:rsid w:val="00960344"/>
    <w:rsid w:val="009658BB"/>
    <w:rsid w:val="009751B9"/>
    <w:rsid w:val="00977C9B"/>
    <w:rsid w:val="00982B21"/>
    <w:rsid w:val="009954FD"/>
    <w:rsid w:val="009A1CF2"/>
    <w:rsid w:val="009A4A0E"/>
    <w:rsid w:val="009A5955"/>
    <w:rsid w:val="009B35DE"/>
    <w:rsid w:val="009B5D12"/>
    <w:rsid w:val="009C2893"/>
    <w:rsid w:val="009C3EAC"/>
    <w:rsid w:val="009C4FF2"/>
    <w:rsid w:val="009D1A22"/>
    <w:rsid w:val="009D2099"/>
    <w:rsid w:val="009D45F0"/>
    <w:rsid w:val="009D4743"/>
    <w:rsid w:val="009E6C8B"/>
    <w:rsid w:val="009F70BB"/>
    <w:rsid w:val="00A06745"/>
    <w:rsid w:val="00A06B19"/>
    <w:rsid w:val="00A0784F"/>
    <w:rsid w:val="00A11221"/>
    <w:rsid w:val="00A1224F"/>
    <w:rsid w:val="00A16932"/>
    <w:rsid w:val="00A26EE6"/>
    <w:rsid w:val="00A336E3"/>
    <w:rsid w:val="00A366FE"/>
    <w:rsid w:val="00A5733C"/>
    <w:rsid w:val="00A6022D"/>
    <w:rsid w:val="00A6026A"/>
    <w:rsid w:val="00A6084A"/>
    <w:rsid w:val="00A61936"/>
    <w:rsid w:val="00A61C60"/>
    <w:rsid w:val="00A62CAF"/>
    <w:rsid w:val="00A640BA"/>
    <w:rsid w:val="00A6608B"/>
    <w:rsid w:val="00A67E8C"/>
    <w:rsid w:val="00A72B36"/>
    <w:rsid w:val="00A73EEE"/>
    <w:rsid w:val="00A742B5"/>
    <w:rsid w:val="00A77FB9"/>
    <w:rsid w:val="00A83BD2"/>
    <w:rsid w:val="00A95A08"/>
    <w:rsid w:val="00A96239"/>
    <w:rsid w:val="00AA06EA"/>
    <w:rsid w:val="00AA340B"/>
    <w:rsid w:val="00AA3FC0"/>
    <w:rsid w:val="00AA3FDE"/>
    <w:rsid w:val="00AA40DC"/>
    <w:rsid w:val="00AB1DC8"/>
    <w:rsid w:val="00AB58BC"/>
    <w:rsid w:val="00AC1844"/>
    <w:rsid w:val="00AC58DF"/>
    <w:rsid w:val="00AE241A"/>
    <w:rsid w:val="00AE44E6"/>
    <w:rsid w:val="00AE4B07"/>
    <w:rsid w:val="00AE6C33"/>
    <w:rsid w:val="00AF588E"/>
    <w:rsid w:val="00AF7809"/>
    <w:rsid w:val="00B01608"/>
    <w:rsid w:val="00B01893"/>
    <w:rsid w:val="00B107DB"/>
    <w:rsid w:val="00B12745"/>
    <w:rsid w:val="00B15732"/>
    <w:rsid w:val="00B24F5E"/>
    <w:rsid w:val="00B27C5D"/>
    <w:rsid w:val="00B30461"/>
    <w:rsid w:val="00B320CE"/>
    <w:rsid w:val="00B327EC"/>
    <w:rsid w:val="00B33E36"/>
    <w:rsid w:val="00B36AFB"/>
    <w:rsid w:val="00B42574"/>
    <w:rsid w:val="00B4442E"/>
    <w:rsid w:val="00B602BC"/>
    <w:rsid w:val="00B61FCC"/>
    <w:rsid w:val="00B72A12"/>
    <w:rsid w:val="00B72A66"/>
    <w:rsid w:val="00B732C2"/>
    <w:rsid w:val="00B77975"/>
    <w:rsid w:val="00B77F94"/>
    <w:rsid w:val="00B8244F"/>
    <w:rsid w:val="00B92C22"/>
    <w:rsid w:val="00B94A6F"/>
    <w:rsid w:val="00B94D07"/>
    <w:rsid w:val="00B9786A"/>
    <w:rsid w:val="00BA2505"/>
    <w:rsid w:val="00BA2531"/>
    <w:rsid w:val="00BA346D"/>
    <w:rsid w:val="00BA3BD3"/>
    <w:rsid w:val="00BB3678"/>
    <w:rsid w:val="00BB7CE4"/>
    <w:rsid w:val="00BC21E3"/>
    <w:rsid w:val="00BC306F"/>
    <w:rsid w:val="00BC5040"/>
    <w:rsid w:val="00BC5CB6"/>
    <w:rsid w:val="00BC700F"/>
    <w:rsid w:val="00BD3B12"/>
    <w:rsid w:val="00BD5BE2"/>
    <w:rsid w:val="00BE28FD"/>
    <w:rsid w:val="00BE4564"/>
    <w:rsid w:val="00BE65C8"/>
    <w:rsid w:val="00BF7664"/>
    <w:rsid w:val="00BF780B"/>
    <w:rsid w:val="00BF7CB7"/>
    <w:rsid w:val="00C02180"/>
    <w:rsid w:val="00C03B96"/>
    <w:rsid w:val="00C07E9E"/>
    <w:rsid w:val="00C13CC8"/>
    <w:rsid w:val="00C17AD6"/>
    <w:rsid w:val="00C2045A"/>
    <w:rsid w:val="00C20C30"/>
    <w:rsid w:val="00C21D84"/>
    <w:rsid w:val="00C22260"/>
    <w:rsid w:val="00C22B6C"/>
    <w:rsid w:val="00C235B7"/>
    <w:rsid w:val="00C23E77"/>
    <w:rsid w:val="00C25BB4"/>
    <w:rsid w:val="00C2626D"/>
    <w:rsid w:val="00C2651A"/>
    <w:rsid w:val="00C31F89"/>
    <w:rsid w:val="00C33062"/>
    <w:rsid w:val="00C34744"/>
    <w:rsid w:val="00C36420"/>
    <w:rsid w:val="00C37506"/>
    <w:rsid w:val="00C436D1"/>
    <w:rsid w:val="00C5132E"/>
    <w:rsid w:val="00C52008"/>
    <w:rsid w:val="00C55576"/>
    <w:rsid w:val="00C55BEB"/>
    <w:rsid w:val="00C629D8"/>
    <w:rsid w:val="00C67358"/>
    <w:rsid w:val="00C75510"/>
    <w:rsid w:val="00C76FC8"/>
    <w:rsid w:val="00C771C3"/>
    <w:rsid w:val="00C82627"/>
    <w:rsid w:val="00C85805"/>
    <w:rsid w:val="00C93985"/>
    <w:rsid w:val="00C93F49"/>
    <w:rsid w:val="00C9683D"/>
    <w:rsid w:val="00CA118B"/>
    <w:rsid w:val="00CA1CE8"/>
    <w:rsid w:val="00CA3F16"/>
    <w:rsid w:val="00CB196F"/>
    <w:rsid w:val="00CC051C"/>
    <w:rsid w:val="00CC24BB"/>
    <w:rsid w:val="00CC7056"/>
    <w:rsid w:val="00CD1DDF"/>
    <w:rsid w:val="00CD30E4"/>
    <w:rsid w:val="00CD7292"/>
    <w:rsid w:val="00CE03E1"/>
    <w:rsid w:val="00CE1DBF"/>
    <w:rsid w:val="00CE2439"/>
    <w:rsid w:val="00CF6353"/>
    <w:rsid w:val="00D108B7"/>
    <w:rsid w:val="00D136D2"/>
    <w:rsid w:val="00D13EE7"/>
    <w:rsid w:val="00D14908"/>
    <w:rsid w:val="00D16FDB"/>
    <w:rsid w:val="00D206C8"/>
    <w:rsid w:val="00D22D25"/>
    <w:rsid w:val="00D22E2D"/>
    <w:rsid w:val="00D23B8D"/>
    <w:rsid w:val="00D248CF"/>
    <w:rsid w:val="00D24A98"/>
    <w:rsid w:val="00D24F75"/>
    <w:rsid w:val="00D323BB"/>
    <w:rsid w:val="00D407C0"/>
    <w:rsid w:val="00D41532"/>
    <w:rsid w:val="00D45C77"/>
    <w:rsid w:val="00D462C8"/>
    <w:rsid w:val="00D476A0"/>
    <w:rsid w:val="00D47A8D"/>
    <w:rsid w:val="00D504B6"/>
    <w:rsid w:val="00D51502"/>
    <w:rsid w:val="00D53E7A"/>
    <w:rsid w:val="00D61DAD"/>
    <w:rsid w:val="00D6513B"/>
    <w:rsid w:val="00D67032"/>
    <w:rsid w:val="00D67252"/>
    <w:rsid w:val="00D67771"/>
    <w:rsid w:val="00D727A3"/>
    <w:rsid w:val="00D73BE4"/>
    <w:rsid w:val="00D74790"/>
    <w:rsid w:val="00D74841"/>
    <w:rsid w:val="00D76DED"/>
    <w:rsid w:val="00D80E79"/>
    <w:rsid w:val="00D84134"/>
    <w:rsid w:val="00D846AD"/>
    <w:rsid w:val="00D923AD"/>
    <w:rsid w:val="00D9335B"/>
    <w:rsid w:val="00D949B1"/>
    <w:rsid w:val="00D963B3"/>
    <w:rsid w:val="00DA0F70"/>
    <w:rsid w:val="00DA1207"/>
    <w:rsid w:val="00DA276A"/>
    <w:rsid w:val="00DA2FF3"/>
    <w:rsid w:val="00DA64F5"/>
    <w:rsid w:val="00DB1CBD"/>
    <w:rsid w:val="00DB5208"/>
    <w:rsid w:val="00DB52F8"/>
    <w:rsid w:val="00DB5C8E"/>
    <w:rsid w:val="00DB770D"/>
    <w:rsid w:val="00DB7F28"/>
    <w:rsid w:val="00DC0FA8"/>
    <w:rsid w:val="00DC2EC4"/>
    <w:rsid w:val="00DC34D8"/>
    <w:rsid w:val="00DC39A1"/>
    <w:rsid w:val="00DD1710"/>
    <w:rsid w:val="00DD2BA4"/>
    <w:rsid w:val="00DD32FD"/>
    <w:rsid w:val="00DD35CA"/>
    <w:rsid w:val="00DD5390"/>
    <w:rsid w:val="00DE1769"/>
    <w:rsid w:val="00DE45DD"/>
    <w:rsid w:val="00DF099D"/>
    <w:rsid w:val="00DF5D87"/>
    <w:rsid w:val="00DF78F2"/>
    <w:rsid w:val="00DF7B50"/>
    <w:rsid w:val="00E06FC8"/>
    <w:rsid w:val="00E0759C"/>
    <w:rsid w:val="00E10AD2"/>
    <w:rsid w:val="00E1433A"/>
    <w:rsid w:val="00E14368"/>
    <w:rsid w:val="00E14FB0"/>
    <w:rsid w:val="00E1695B"/>
    <w:rsid w:val="00E1741B"/>
    <w:rsid w:val="00E25DF6"/>
    <w:rsid w:val="00E2656D"/>
    <w:rsid w:val="00E3627D"/>
    <w:rsid w:val="00E3628B"/>
    <w:rsid w:val="00E366FC"/>
    <w:rsid w:val="00E4284F"/>
    <w:rsid w:val="00E47F7C"/>
    <w:rsid w:val="00E52B45"/>
    <w:rsid w:val="00E56BD2"/>
    <w:rsid w:val="00E57570"/>
    <w:rsid w:val="00E6297F"/>
    <w:rsid w:val="00E643F3"/>
    <w:rsid w:val="00E64CDD"/>
    <w:rsid w:val="00E65FBF"/>
    <w:rsid w:val="00E74EB0"/>
    <w:rsid w:val="00E8039E"/>
    <w:rsid w:val="00E83E3A"/>
    <w:rsid w:val="00E907CF"/>
    <w:rsid w:val="00E90C50"/>
    <w:rsid w:val="00E92DCE"/>
    <w:rsid w:val="00E97A5A"/>
    <w:rsid w:val="00EA60CA"/>
    <w:rsid w:val="00EA6E80"/>
    <w:rsid w:val="00EA770A"/>
    <w:rsid w:val="00EB0C8A"/>
    <w:rsid w:val="00EB2C14"/>
    <w:rsid w:val="00EB3F68"/>
    <w:rsid w:val="00EB696E"/>
    <w:rsid w:val="00EC404A"/>
    <w:rsid w:val="00EC4A5D"/>
    <w:rsid w:val="00EC6390"/>
    <w:rsid w:val="00EC6598"/>
    <w:rsid w:val="00ED0490"/>
    <w:rsid w:val="00ED1DEE"/>
    <w:rsid w:val="00ED6B2D"/>
    <w:rsid w:val="00EE300A"/>
    <w:rsid w:val="00EE511E"/>
    <w:rsid w:val="00EF054E"/>
    <w:rsid w:val="00EF338F"/>
    <w:rsid w:val="00F06938"/>
    <w:rsid w:val="00F10EA9"/>
    <w:rsid w:val="00F1252F"/>
    <w:rsid w:val="00F13E80"/>
    <w:rsid w:val="00F1734F"/>
    <w:rsid w:val="00F20568"/>
    <w:rsid w:val="00F21DBB"/>
    <w:rsid w:val="00F34ACB"/>
    <w:rsid w:val="00F36406"/>
    <w:rsid w:val="00F4223C"/>
    <w:rsid w:val="00F51111"/>
    <w:rsid w:val="00F53356"/>
    <w:rsid w:val="00F54DD2"/>
    <w:rsid w:val="00F559FE"/>
    <w:rsid w:val="00F569F7"/>
    <w:rsid w:val="00F57F15"/>
    <w:rsid w:val="00F613B4"/>
    <w:rsid w:val="00F6186E"/>
    <w:rsid w:val="00F74FA0"/>
    <w:rsid w:val="00F76430"/>
    <w:rsid w:val="00F8098C"/>
    <w:rsid w:val="00F80C6F"/>
    <w:rsid w:val="00F8788D"/>
    <w:rsid w:val="00F935F1"/>
    <w:rsid w:val="00F94E74"/>
    <w:rsid w:val="00F96745"/>
    <w:rsid w:val="00F97ADA"/>
    <w:rsid w:val="00FA3F56"/>
    <w:rsid w:val="00FA7887"/>
    <w:rsid w:val="00FB4ED8"/>
    <w:rsid w:val="00FB6DAE"/>
    <w:rsid w:val="00FB7879"/>
    <w:rsid w:val="00FC03A5"/>
    <w:rsid w:val="00FC0995"/>
    <w:rsid w:val="00FC2690"/>
    <w:rsid w:val="00FC412B"/>
    <w:rsid w:val="00FC4E27"/>
    <w:rsid w:val="00FD07BF"/>
    <w:rsid w:val="00FD4F76"/>
    <w:rsid w:val="00FE3DEA"/>
    <w:rsid w:val="00FE7231"/>
    <w:rsid w:val="00FF0A5B"/>
    <w:rsid w:val="00FF1247"/>
    <w:rsid w:val="00FF5303"/>
    <w:rsid w:val="00FF74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8CCF2"/>
  <w15:docId w15:val="{6194BC61-384A-469A-98F6-7DCDF5B7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7B9"/>
    <w:rPr>
      <w:sz w:val="24"/>
      <w:szCs w:val="24"/>
      <w:lang w:eastAsia="en-US"/>
    </w:rPr>
  </w:style>
  <w:style w:type="paragraph" w:styleId="Heading1">
    <w:name w:val="heading 1"/>
    <w:basedOn w:val="Normal"/>
    <w:next w:val="Normal"/>
    <w:qFormat/>
    <w:rsid w:val="007027B9"/>
    <w:pPr>
      <w:keepNext/>
      <w:jc w:val="center"/>
      <w:outlineLvl w:val="0"/>
    </w:pPr>
    <w:rPr>
      <w:sz w:val="28"/>
      <w:lang w:val="en-AU"/>
    </w:rPr>
  </w:style>
  <w:style w:type="paragraph" w:styleId="Heading2">
    <w:name w:val="heading 2"/>
    <w:basedOn w:val="Normal"/>
    <w:next w:val="Normal"/>
    <w:qFormat/>
    <w:rsid w:val="007027B9"/>
    <w:pPr>
      <w:keepNext/>
      <w:spacing w:before="120"/>
      <w:outlineLvl w:val="1"/>
    </w:pPr>
    <w:rPr>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027B9"/>
    <w:pPr>
      <w:jc w:val="right"/>
    </w:pPr>
    <w:rPr>
      <w:lang w:val="en-AU"/>
    </w:rPr>
  </w:style>
  <w:style w:type="table" w:styleId="TableGrid">
    <w:name w:val="Table Grid"/>
    <w:basedOn w:val="TableNormal"/>
    <w:rsid w:val="00926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530"/>
    <w:pPr>
      <w:ind w:left="720"/>
      <w:contextualSpacing/>
    </w:pPr>
  </w:style>
  <w:style w:type="table" w:customStyle="1" w:styleId="TableGrid1">
    <w:name w:val="Table Grid1"/>
    <w:basedOn w:val="TableNormal"/>
    <w:next w:val="TableGrid"/>
    <w:uiPriority w:val="59"/>
    <w:rsid w:val="00DF7B50"/>
    <w:rPr>
      <w:rFonts w:asciiTheme="minorHAnsi" w:eastAsia="Calibr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C1FC1"/>
    <w:pPr>
      <w:tabs>
        <w:tab w:val="center" w:pos="4513"/>
        <w:tab w:val="right" w:pos="9026"/>
      </w:tabs>
    </w:pPr>
  </w:style>
  <w:style w:type="character" w:customStyle="1" w:styleId="HeaderChar">
    <w:name w:val="Header Char"/>
    <w:basedOn w:val="DefaultParagraphFont"/>
    <w:link w:val="Header"/>
    <w:rsid w:val="007C1FC1"/>
    <w:rPr>
      <w:sz w:val="24"/>
      <w:szCs w:val="24"/>
      <w:lang w:eastAsia="en-US"/>
    </w:rPr>
  </w:style>
  <w:style w:type="paragraph" w:styleId="Footer">
    <w:name w:val="footer"/>
    <w:basedOn w:val="Normal"/>
    <w:link w:val="FooterChar"/>
    <w:uiPriority w:val="99"/>
    <w:unhideWhenUsed/>
    <w:rsid w:val="007C1FC1"/>
    <w:pPr>
      <w:tabs>
        <w:tab w:val="center" w:pos="4513"/>
        <w:tab w:val="right" w:pos="9026"/>
      </w:tabs>
    </w:pPr>
  </w:style>
  <w:style w:type="character" w:customStyle="1" w:styleId="FooterChar">
    <w:name w:val="Footer Char"/>
    <w:basedOn w:val="DefaultParagraphFont"/>
    <w:link w:val="Footer"/>
    <w:uiPriority w:val="99"/>
    <w:rsid w:val="007C1FC1"/>
    <w:rPr>
      <w:sz w:val="24"/>
      <w:szCs w:val="24"/>
      <w:lang w:eastAsia="en-US"/>
    </w:rPr>
  </w:style>
  <w:style w:type="character" w:styleId="Hyperlink">
    <w:name w:val="Hyperlink"/>
    <w:basedOn w:val="DefaultParagraphFont"/>
    <w:unhideWhenUsed/>
    <w:rsid w:val="00A83BD2"/>
    <w:rPr>
      <w:color w:val="0000FF" w:themeColor="hyperlink"/>
      <w:u w:val="single"/>
    </w:rPr>
  </w:style>
  <w:style w:type="character" w:customStyle="1" w:styleId="UnresolvedMention1">
    <w:name w:val="Unresolved Mention1"/>
    <w:basedOn w:val="DefaultParagraphFont"/>
    <w:uiPriority w:val="99"/>
    <w:semiHidden/>
    <w:unhideWhenUsed/>
    <w:rsid w:val="00A83BD2"/>
    <w:rPr>
      <w:color w:val="808080"/>
      <w:shd w:val="clear" w:color="auto" w:fill="E6E6E6"/>
    </w:rPr>
  </w:style>
  <w:style w:type="character" w:styleId="PlaceholderText">
    <w:name w:val="Placeholder Text"/>
    <w:basedOn w:val="DefaultParagraphFont"/>
    <w:uiPriority w:val="99"/>
    <w:semiHidden/>
    <w:rsid w:val="00C37506"/>
    <w:rPr>
      <w:color w:val="808080"/>
    </w:rPr>
  </w:style>
  <w:style w:type="paragraph" w:styleId="BalloonText">
    <w:name w:val="Balloon Text"/>
    <w:basedOn w:val="Normal"/>
    <w:link w:val="BalloonTextChar"/>
    <w:semiHidden/>
    <w:unhideWhenUsed/>
    <w:rsid w:val="00D923AD"/>
    <w:rPr>
      <w:rFonts w:ascii="Tahoma" w:hAnsi="Tahoma" w:cs="Tahoma"/>
      <w:sz w:val="16"/>
      <w:szCs w:val="16"/>
    </w:rPr>
  </w:style>
  <w:style w:type="character" w:customStyle="1" w:styleId="BalloonTextChar">
    <w:name w:val="Balloon Text Char"/>
    <w:basedOn w:val="DefaultParagraphFont"/>
    <w:link w:val="BalloonText"/>
    <w:semiHidden/>
    <w:rsid w:val="00D923AD"/>
    <w:rPr>
      <w:rFonts w:ascii="Tahoma" w:hAnsi="Tahoma" w:cs="Tahoma"/>
      <w:sz w:val="16"/>
      <w:szCs w:val="16"/>
      <w:lang w:eastAsia="en-US"/>
    </w:rPr>
  </w:style>
  <w:style w:type="paragraph" w:styleId="CommentText">
    <w:name w:val="annotation text"/>
    <w:basedOn w:val="Normal"/>
    <w:link w:val="CommentTextChar"/>
    <w:uiPriority w:val="99"/>
    <w:semiHidden/>
    <w:unhideWhenUsed/>
    <w:rsid w:val="00253F53"/>
    <w:rPr>
      <w:rFonts w:ascii="Arial" w:eastAsia="Arial" w:hAnsi="Arial" w:cs="Arial"/>
      <w:sz w:val="20"/>
      <w:szCs w:val="20"/>
      <w:lang w:val="en" w:eastAsia="en-AU"/>
    </w:rPr>
  </w:style>
  <w:style w:type="character" w:customStyle="1" w:styleId="CommentTextChar">
    <w:name w:val="Comment Text Char"/>
    <w:basedOn w:val="DefaultParagraphFont"/>
    <w:link w:val="CommentText"/>
    <w:uiPriority w:val="99"/>
    <w:semiHidden/>
    <w:rsid w:val="00253F53"/>
    <w:rPr>
      <w:rFonts w:ascii="Arial" w:eastAsia="Arial" w:hAnsi="Arial" w:cs="Arial"/>
      <w:lang w:val="en" w:eastAsia="en-AU"/>
    </w:rPr>
  </w:style>
  <w:style w:type="character" w:styleId="CommentReference">
    <w:name w:val="annotation reference"/>
    <w:basedOn w:val="DefaultParagraphFont"/>
    <w:uiPriority w:val="99"/>
    <w:semiHidden/>
    <w:unhideWhenUsed/>
    <w:rsid w:val="00253F53"/>
    <w:rPr>
      <w:sz w:val="16"/>
      <w:szCs w:val="16"/>
    </w:rPr>
  </w:style>
  <w:style w:type="paragraph" w:styleId="CommentSubject">
    <w:name w:val="annotation subject"/>
    <w:basedOn w:val="CommentText"/>
    <w:next w:val="CommentText"/>
    <w:link w:val="CommentSubjectChar"/>
    <w:semiHidden/>
    <w:unhideWhenUsed/>
    <w:rsid w:val="009751B9"/>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semiHidden/>
    <w:rsid w:val="009751B9"/>
    <w:rPr>
      <w:rFonts w:ascii="Arial" w:eastAsia="Arial" w:hAnsi="Arial" w:cs="Arial"/>
      <w:b/>
      <w:bCs/>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569">
      <w:bodyDiv w:val="1"/>
      <w:marLeft w:val="0"/>
      <w:marRight w:val="0"/>
      <w:marTop w:val="0"/>
      <w:marBottom w:val="0"/>
      <w:divBdr>
        <w:top w:val="none" w:sz="0" w:space="0" w:color="auto"/>
        <w:left w:val="none" w:sz="0" w:space="0" w:color="auto"/>
        <w:bottom w:val="none" w:sz="0" w:space="0" w:color="auto"/>
        <w:right w:val="none" w:sz="0" w:space="0" w:color="auto"/>
      </w:divBdr>
    </w:div>
    <w:div w:id="610672941">
      <w:bodyDiv w:val="1"/>
      <w:marLeft w:val="0"/>
      <w:marRight w:val="0"/>
      <w:marTop w:val="0"/>
      <w:marBottom w:val="0"/>
      <w:divBdr>
        <w:top w:val="none" w:sz="0" w:space="0" w:color="auto"/>
        <w:left w:val="none" w:sz="0" w:space="0" w:color="auto"/>
        <w:bottom w:val="none" w:sz="0" w:space="0" w:color="auto"/>
        <w:right w:val="none" w:sz="0" w:space="0" w:color="auto"/>
      </w:divBdr>
    </w:div>
    <w:div w:id="697589108">
      <w:bodyDiv w:val="1"/>
      <w:marLeft w:val="0"/>
      <w:marRight w:val="0"/>
      <w:marTop w:val="0"/>
      <w:marBottom w:val="0"/>
      <w:divBdr>
        <w:top w:val="none" w:sz="0" w:space="0" w:color="auto"/>
        <w:left w:val="none" w:sz="0" w:space="0" w:color="auto"/>
        <w:bottom w:val="none" w:sz="0" w:space="0" w:color="auto"/>
        <w:right w:val="none" w:sz="0" w:space="0" w:color="auto"/>
      </w:divBdr>
    </w:div>
    <w:div w:id="776021276">
      <w:bodyDiv w:val="1"/>
      <w:marLeft w:val="0"/>
      <w:marRight w:val="0"/>
      <w:marTop w:val="0"/>
      <w:marBottom w:val="0"/>
      <w:divBdr>
        <w:top w:val="none" w:sz="0" w:space="0" w:color="auto"/>
        <w:left w:val="none" w:sz="0" w:space="0" w:color="auto"/>
        <w:bottom w:val="none" w:sz="0" w:space="0" w:color="auto"/>
        <w:right w:val="none" w:sz="0" w:space="0" w:color="auto"/>
      </w:divBdr>
    </w:div>
    <w:div w:id="1006128277">
      <w:bodyDiv w:val="1"/>
      <w:marLeft w:val="0"/>
      <w:marRight w:val="0"/>
      <w:marTop w:val="0"/>
      <w:marBottom w:val="0"/>
      <w:divBdr>
        <w:top w:val="none" w:sz="0" w:space="0" w:color="auto"/>
        <w:left w:val="none" w:sz="0" w:space="0" w:color="auto"/>
        <w:bottom w:val="none" w:sz="0" w:space="0" w:color="auto"/>
        <w:right w:val="none" w:sz="0" w:space="0" w:color="auto"/>
      </w:divBdr>
    </w:div>
    <w:div w:id="1045373961">
      <w:bodyDiv w:val="1"/>
      <w:marLeft w:val="0"/>
      <w:marRight w:val="0"/>
      <w:marTop w:val="0"/>
      <w:marBottom w:val="0"/>
      <w:divBdr>
        <w:top w:val="none" w:sz="0" w:space="0" w:color="auto"/>
        <w:left w:val="none" w:sz="0" w:space="0" w:color="auto"/>
        <w:bottom w:val="none" w:sz="0" w:space="0" w:color="auto"/>
        <w:right w:val="none" w:sz="0" w:space="0" w:color="auto"/>
      </w:divBdr>
      <w:divsChild>
        <w:div w:id="138621760">
          <w:marLeft w:val="0"/>
          <w:marRight w:val="450"/>
          <w:marTop w:val="0"/>
          <w:marBottom w:val="0"/>
          <w:divBdr>
            <w:top w:val="none" w:sz="0" w:space="0" w:color="auto"/>
            <w:left w:val="none" w:sz="0" w:space="0" w:color="auto"/>
            <w:bottom w:val="none" w:sz="0" w:space="0" w:color="auto"/>
            <w:right w:val="none" w:sz="0" w:space="0" w:color="auto"/>
          </w:divBdr>
        </w:div>
      </w:divsChild>
    </w:div>
    <w:div w:id="1086224466">
      <w:bodyDiv w:val="1"/>
      <w:marLeft w:val="0"/>
      <w:marRight w:val="0"/>
      <w:marTop w:val="0"/>
      <w:marBottom w:val="0"/>
      <w:divBdr>
        <w:top w:val="none" w:sz="0" w:space="0" w:color="auto"/>
        <w:left w:val="none" w:sz="0" w:space="0" w:color="auto"/>
        <w:bottom w:val="none" w:sz="0" w:space="0" w:color="auto"/>
        <w:right w:val="none" w:sz="0" w:space="0" w:color="auto"/>
      </w:divBdr>
    </w:div>
    <w:div w:id="1202209494">
      <w:bodyDiv w:val="1"/>
      <w:marLeft w:val="0"/>
      <w:marRight w:val="0"/>
      <w:marTop w:val="0"/>
      <w:marBottom w:val="0"/>
      <w:divBdr>
        <w:top w:val="none" w:sz="0" w:space="0" w:color="auto"/>
        <w:left w:val="none" w:sz="0" w:space="0" w:color="auto"/>
        <w:bottom w:val="none" w:sz="0" w:space="0" w:color="auto"/>
        <w:right w:val="none" w:sz="0" w:space="0" w:color="auto"/>
      </w:divBdr>
    </w:div>
    <w:div w:id="1262688870">
      <w:bodyDiv w:val="1"/>
      <w:marLeft w:val="0"/>
      <w:marRight w:val="0"/>
      <w:marTop w:val="0"/>
      <w:marBottom w:val="0"/>
      <w:divBdr>
        <w:top w:val="none" w:sz="0" w:space="0" w:color="auto"/>
        <w:left w:val="none" w:sz="0" w:space="0" w:color="auto"/>
        <w:bottom w:val="none" w:sz="0" w:space="0" w:color="auto"/>
        <w:right w:val="none" w:sz="0" w:space="0" w:color="auto"/>
      </w:divBdr>
    </w:div>
    <w:div w:id="198700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5A13D-4794-47A1-B11E-76D77051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FCE</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MummyPC</dc:creator>
  <cp:lastModifiedBy>George Bai</cp:lastModifiedBy>
  <cp:revision>2</cp:revision>
  <cp:lastPrinted>2019-03-28T07:08:00Z</cp:lastPrinted>
  <dcterms:created xsi:type="dcterms:W3CDTF">2020-11-12T04:56:00Z</dcterms:created>
  <dcterms:modified xsi:type="dcterms:W3CDTF">2020-11-12T04:56:00Z</dcterms:modified>
</cp:coreProperties>
</file>