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2fef00f7e8f746a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400"/>
        <w:jc w:val="center"/>
      </w:pPr>
      <w:r>
        <w:rPr>
          <w:rFonts w:ascii="Consolas" w:hAnsi="Consolas" w:eastAsia="Microsoft YaHei"/>
          <w:b/>
          <w:color w:val="1a3a5c"/>
          <w:spacing w:val="40"/>
          <w:sz w:val="72"/>
        </w:rPr>
        <w:t>机器学习基础教程</w:t>
      </w:r>
    </w:p>
    <w:p>
      <w:pPr>
        <w:spacing w:after="200"/>
        <w:jc w:val="center"/>
      </w:pPr>
      <w:r>
        <w:rPr>
          <w:rFonts w:ascii="Consolas" w:hAnsi="Consolas" w:eastAsia="Microsoft YaHei"/>
          <w:color w:val="3a7bd5"/>
          <w:spacing w:val="20"/>
          <w:sz w:val="36"/>
        </w:rPr>
        <w:t>排版参数与代码参考手册</w:t>
      </w:r>
    </w:p>
    <w:p>
      <w:pPr>
        <w:spacing w:before="2000"/>
        <w:jc w:val="center"/>
      </w:pPr>
      <w:r>
        <w:rPr>
          <w:rFonts w:ascii="Consolas" w:hAnsi="Consolas" w:eastAsia="Microsoft YaHei"/>
          <w:color w:val="00b4a6"/>
          <w:sz w:val="24"/>
        </w:rPr>
        <w:t>React + TypeScript + Tailwind CSS + D3.js</w:t>
      </w:r>
    </w:p>
    <w:p>
      <w:pPr>
        <w:spacing w:before="600"/>
        <w:jc w:val="center"/>
      </w:pPr>
      <w:r>
        <w:rPr>
          <w:rFonts w:ascii="Consolas" w:hAnsi="Consolas" w:eastAsia="Microsoft YaHei"/>
          <w:color w:val="636e72"/>
          <w:sz w:val="21"/>
        </w:rPr>
        <w:t>2025年6月</w:t>
      </w:r>
    </w:p>
    <w:p>
      <w:pPr>
        <w:sectPr>
          <w:type w:val="nextPage"/>
          <w:pgSz w:w="11906" w:h="16838"/>
          <w:pgMar w:top="1800" w:right="1440" w:bottom="1440" w:left="1440" w:header="720" w:footer="720"/>
          <w:titlePg/>
        </w:sectPr>
      </w:pPr>
    </w:p>
    <w:p>
      <w:pPr>
        <w:pStyle w:val="Heading1"/>
      </w:pPr>
      <w:r>
        <w:t>目录</w:t>
      </w:r>
    </w:p>
    <w:p>
      <w:pPr>
        <w:spacing w:after="300"/>
      </w:pPr>
      <w:r>
        <w:rPr>
          <w:rFonts w:ascii="Consolas" w:hAnsi="Consolas" w:eastAsia="Microsoft YaHei"/>
          <w:color w:val="95a5a6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一、项目技术栈与全局配置</w:t>
      </w:r>
      <w:r>
        <w:tab/>
      </w:r>
      <w:r>
        <w:t>3</w:t>
      </w:r>
    </w:p>
    <w:p>
      <w:pPr>
        <w:pStyle w:val="TOC2"/>
      </w:pPr>
      <w:r>
        <w:t>1.1 Tailwind CSS 配置</w:t>
      </w:r>
      <w:r>
        <w:tab/>
      </w:r>
      <w:r>
        <w:t>3</w:t>
      </w:r>
    </w:p>
    <w:p>
      <w:pPr>
        <w:pStyle w:val="TOC2"/>
      </w:pPr>
      <w:r>
        <w:t>1.2 全局 CSS 样式</w:t>
      </w:r>
      <w:r>
        <w:tab/>
      </w:r>
      <w:r>
        <w:t>3</w:t>
      </w:r>
    </w:p>
    <w:p>
      <w:pPr>
        <w:pStyle w:val="TOC1"/>
      </w:pPr>
      <w:r>
        <w:t>二、数学渲染组件 (KaTeX)</w:t>
      </w:r>
      <w:r>
        <w:tab/>
      </w:r>
      <w:r>
        <w:t>4</w:t>
      </w:r>
    </w:p>
    <w:p>
      <w:pPr>
        <w:pStyle w:val="TOC1"/>
      </w:pPr>
      <w:r>
        <w:t>三、代价函数设计</w:t>
      </w:r>
      <w:r>
        <w:tab/>
      </w:r>
      <w:r>
        <w:t>5</w:t>
      </w:r>
    </w:p>
    <w:p>
      <w:pPr>
        <w:pStyle w:val="TOC2"/>
      </w:pPr>
      <w:r>
        <w:t>3.1 八次多项式系数</w:t>
      </w:r>
      <w:r>
        <w:tab/>
      </w:r>
      <w:r>
        <w:t>5</w:t>
      </w:r>
    </w:p>
    <w:p>
      <w:pPr>
        <w:pStyle w:val="TOC2"/>
      </w:pPr>
      <w:r>
        <w:t>3.2 costFn 与 gradFn 实现</w:t>
      </w:r>
      <w:r>
        <w:tab/>
      </w:r>
      <w:r>
        <w:t>5</w:t>
      </w:r>
    </w:p>
    <w:p>
      <w:pPr>
        <w:pStyle w:val="TOC1"/>
      </w:pPr>
      <w:r>
        <w:t>四、梯度下降算法</w:t>
      </w:r>
      <w:r>
        <w:tab/>
      </w:r>
      <w:r>
        <w:t>6</w:t>
      </w:r>
    </w:p>
    <w:p>
      <w:pPr>
        <w:pStyle w:val="TOC2"/>
      </w:pPr>
      <w:r>
        <w:t>4.1 带动量梯度下降</w:t>
      </w:r>
      <w:r>
        <w:tab/>
      </w:r>
      <w:r>
        <w:t>6</w:t>
      </w:r>
    </w:p>
    <w:p>
      <w:pPr>
        <w:pStyle w:val="TOC2"/>
      </w:pPr>
      <w:r>
        <w:t>4.2 学习率预设参数</w:t>
      </w:r>
      <w:r>
        <w:tab/>
      </w:r>
      <w:r>
        <w:t>6</w:t>
      </w:r>
    </w:p>
    <w:p>
      <w:pPr>
        <w:pStyle w:val="TOC1"/>
      </w:pPr>
      <w:r>
        <w:t>五、正规方程</w:t>
      </w:r>
      <w:r>
        <w:tab/>
      </w:r>
      <w:r>
        <w:t>7</w:t>
      </w:r>
    </w:p>
    <w:p>
      <w:pPr>
        <w:pStyle w:val="TOC1"/>
      </w:pPr>
      <w:r>
        <w:t>六、各页面关键实现要点</w:t>
      </w:r>
      <w:r>
        <w:tab/>
      </w:r>
      <w:r>
        <w:t>8</w:t>
      </w:r>
    </w:p>
    <w:p>
      <w:pPr>
        <w:pStyle w:val="TOC1"/>
      </w:pPr>
      <w:r>
        <w:t>七、常见错误与修复</w:t>
      </w:r>
      <w:r>
        <w:tab/>
      </w:r>
      <w:r>
        <w:t>9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一、项目技术栈与全局配置</w:t>
      </w:r>
    </w:p>
    <w:p>
      <w:pPr>
        <w:ind w:firstLine="0"/>
      </w:pPr>
      <w:r>
        <w:t>本项目为一个中文交互式线性回归教学网页，涵盖监督学习核心内容。技术栈为 React 19 + TypeScript + Vite + Tailwind CSS v3.4.19 + shadcn/ui + D3.js + KaTeX。</w:t>
      </w:r>
    </w:p>
    <w:p>
      <w:pPr>
        <w:pStyle w:val="Heading2"/>
      </w:pPr>
      <w:r>
        <w:t>1.1 Tailwind CSS 配置</w:t>
      </w:r>
    </w:p>
    <w:p>
      <w:pPr>
        <w:ind w:firstLine="0"/>
      </w:pPr>
      <w:r>
        <w:t>tailwind.config.js 中定义了自定义颜色与字体，这是全局视觉一致性的基础。</w:t>
      </w:r>
    </w:p>
    <w:p>
      <w:pPr>
        <w:pStyle w:val="Code"/>
      </w:pPr>
      <w:r>
        <w:rPr>
          <w:color w:val="2d3436"/>
        </w:rPr>
        <w:t xml:space="preserve">colors: {</w:t>
      </w:r>
      <w:r>
        <w:br/>
      </w:r>
      <w:r>
        <w:rPr>
          <w:color w:val="2d3436"/>
        </w:rPr>
        <w:t xml:space="preserve">  "deep-blue": "#1a3a5c",</w:t>
      </w:r>
      <w:r>
        <w:br/>
      </w:r>
      <w:r>
        <w:rPr>
          <w:color w:val="2d3436"/>
        </w:rPr>
        <w:t xml:space="preserve">  "med-blue": "#3a7bd5",</w:t>
      </w:r>
      <w:r>
        <w:br/>
      </w:r>
      <w:r>
        <w:rPr>
          <w:color w:val="2d3436"/>
        </w:rPr>
        <w:t xml:space="preserve">  "light-blue": "#e8f0fe",</w:t>
      </w:r>
      <w:r>
        <w:br/>
      </w:r>
      <w:r>
        <w:rPr>
          <w:color w:val="2d3436"/>
        </w:rPr>
        <w:t xml:space="preserve">  "accent-teal": "#00b4a6",</w:t>
      </w:r>
      <w:r>
        <w:br/>
      </w:r>
      <w:r>
        <w:rPr>
          <w:color w:val="2d3436"/>
        </w:rPr>
        <w:t xml:space="preserve">  "warm-orange": "#f08a5d",</w:t>
      </w:r>
      <w:r>
        <w:br/>
      </w:r>
      <w:r>
        <w:rPr>
          <w:color w:val="2d3436"/>
        </w:rPr>
        <w:t xml:space="preserve">  "soft-red": "#e25b5b",</w:t>
      </w:r>
      <w:r>
        <w:br/>
      </w:r>
      <w:r>
        <w:rPr>
          <w:color w:val="2d3436"/>
        </w:rPr>
        <w:t xml:space="preserve">  "dark-gray": "#2d3436",</w:t>
      </w:r>
      <w:r>
        <w:br/>
      </w:r>
      <w:r>
        <w:rPr>
          <w:color w:val="2d3436"/>
        </w:rPr>
        <w:t xml:space="preserve">  "med-gray": "#636e72",</w:t>
      </w:r>
      <w:r>
        <w:br/>
      </w:r>
      <w:r>
        <w:rPr>
          <w:color w:val="2d3436"/>
        </w:rPr>
        <w:t xml:space="preserve">  "light-gray": "#f8f9fa",</w:t>
      </w:r>
      <w:r>
        <w:br/>
      </w:r>
      <w:r>
        <w:rPr>
          <w:color w:val="2d3436"/>
        </w:rPr>
        <w:t xml:space="preserve">  "border-gray": "#dfe6e9",</w:t>
      </w:r>
      <w:r>
        <w:br/>
      </w:r>
      <w:r>
        <w:rPr>
          <w:color w:val="2d3436"/>
        </w:rPr>
        <w:t xml:space="preserve">},</w:t>
      </w:r>
      <w:r>
        <w:br/>
      </w:r>
      <w:r>
        <w:rPr>
          <w:color w:val="2d3436"/>
        </w:rPr>
        <w:t xml:space="preserve">fontFamily: {</w:t>
      </w:r>
      <w:r>
        <w:br/>
      </w:r>
      <w:r>
        <w:rPr>
          <w:color w:val="2d3436"/>
        </w:rPr>
        <w:t xml:space="preserve">  serif: ['Noto Serif SC', 'serif'],</w:t>
      </w:r>
      <w:r>
        <w:br/>
      </w:r>
      <w:r>
        <w:rPr>
          <w:color w:val="2d3436"/>
        </w:rPr>
        <w:t xml:space="preserve">  sans: ['Inter', 'Noto Sans SC', 'sans-serif'],</w:t>
      </w:r>
      <w:r>
        <w:br/>
      </w:r>
      <w:r>
        <w:rPr>
          <w:color w:val="2d3436"/>
        </w:rPr>
        <w:t xml:space="preserve">  mono: ['JetBrains Mono', 'monospace'],</w:t>
      </w:r>
      <w:r>
        <w:br/>
      </w:r>
      <w:r>
        <w:rPr>
          <w:color w:val="2d3436"/>
        </w:rPr>
        <w:t xml:space="preserve">}</w:t>
      </w:r>
    </w:p>
    <w:p>
      <w:pPr>
        <w:pStyle w:val="Heading2"/>
      </w:pPr>
      <w:r>
        <w:t>1.2 全局 CSS 样式</w:t>
      </w:r>
    </w:p>
    <w:p>
      <w:pPr>
        <w:ind w:firstLine="0"/>
      </w:pPr>
      <w:r>
        <w:t>src/index.css 中定义了三个核心工具类，用于统一公式和页面布局的样式。</w:t>
      </w:r>
    </w:p>
    <w:p>
      <w:pPr>
        <w:pStyle w:val="Code"/>
      </w:pPr>
      <w:r>
        <w:rPr>
          <w:color w:val="2d3436"/>
        </w:rPr>
        <w:t xml:space="preserve">.formula-block {</w:t>
      </w:r>
      <w:r>
        <w:br/>
      </w:r>
      <w:r>
        <w:rPr>
          <w:color w:val="2d3436"/>
        </w:rPr>
        <w:t xml:space="preserve">  @apply my-4 p-4 bg-gray-50 rounded-lg</w:t>
      </w:r>
      <w:r>
        <w:br/>
      </w:r>
      <w:r>
        <w:rPr>
          <w:color w:val="2d3436"/>
        </w:rPr>
        <w:t xml:space="preserve">    border border-gray-200 text-center overflow-x-auto;</w:t>
      </w:r>
      <w:r>
        <w:br/>
      </w:r>
      <w:r>
        <w:rPr>
          <w:color w:val="2d3436"/>
        </w:rPr>
        <w:t xml:space="preserve">}</w:t>
      </w:r>
      <w:r>
        <w:br/>
      </w:r>
      <w:r>
        <w:rPr>
          <w:color w:val="2d3436"/>
        </w:rPr>
        <w:t xml:space="preserve">.formula-inline {</w:t>
      </w:r>
      <w:r>
        <w:br/>
      </w:r>
      <w:r>
        <w:rPr>
          <w:color w:val="2d3436"/>
        </w:rPr>
        <w:t xml:space="preserve">  @apply inline-flex items-center;</w:t>
      </w:r>
      <w:r>
        <w:br/>
      </w:r>
      <w:r>
        <w:rPr>
          <w:color w:val="2d3436"/>
        </w:rPr>
        <w:t xml:space="preserve">}</w:t>
      </w:r>
      <w:r>
        <w:br/>
      </w:r>
      <w:r>
        <w:rPr>
          <w:color w:val="2d3436"/>
        </w:rPr>
        <w:t xml:space="preserve">.section-container {</w:t>
      </w:r>
      <w:r>
        <w:br/>
      </w:r>
      <w:r>
        <w:rPr>
          <w:color w:val="2d3436"/>
        </w:rPr>
        <w:t xml:space="preserve">  @apply max-w-[1200px] mx-auto px-6;</w:t>
      </w:r>
      <w:r>
        <w:br/>
      </w:r>
      <w:r>
        <w:rPr>
          <w:color w:val="2d3436"/>
        </w:rPr>
        <w:t xml:space="preserve">}</w:t>
      </w:r>
    </w:p>
    <w:p>
      <w:pPr>
        <w:pStyle w:val="Heading1"/>
      </w:pPr>
      <w:r>
        <w:t>二、数学渲染组件 (KaTeX)</w:t>
      </w:r>
    </w:p>
    <w:p>
      <w:pPr>
        <w:ind w:firstLine="0"/>
      </w:pPr>
      <w:r>
        <w:t>所有数学公式通过 KaTeX 渲染。组件封装如下：</w:t>
      </w:r>
    </w:p>
    <w:p>
      <w:pPr>
        <w:pStyle w:val="Code"/>
      </w:pPr>
      <w:r>
        <w:rPr>
          <w:color w:val="2d3436"/>
        </w:rPr>
        <w:t xml:space="preserve">import katex from 'katex';</w:t>
      </w:r>
      <w:r>
        <w:br/>
      </w:r>
      <w:r>
        <w:rPr>
          <w:color w:val="2d3436"/>
        </w:rPr>
        <w:t xml:space="preserve">import 'katex/dist/katex.min.css';</w:t>
      </w:r>
      <w:r>
        <w:br/>
      </w:r>
      <w:r>
        <w:rPr>
          <w:color w:val="2d3436"/>
        </w:rPr>
        <w:t xml:space="preserve"/>
      </w:r>
      <w:r>
        <w:br/>
      </w:r>
      <w:r>
        <w:rPr>
          <w:color w:val="2d3436"/>
        </w:rPr>
        <w:t xml:space="preserve">export default function KaTeX(</w:t>
      </w:r>
      <w:r>
        <w:br/>
      </w:r>
      <w:r>
        <w:rPr>
          <w:color w:val="2d3436"/>
        </w:rPr>
        <w:t xml:space="preserve">  { math, display = false }</w:t>
      </w:r>
      <w:r>
        <w:br/>
      </w:r>
      <w:r>
        <w:rPr>
          <w:color w:val="2d3436"/>
        </w:rPr>
        <w:t xml:space="preserve">  : { math: string; display?: boolean })</w:t>
      </w:r>
      <w:r>
        <w:br/>
      </w:r>
      <w:r>
        <w:rPr>
          <w:color w:val="2d3436"/>
        </w:rPr>
        <w:t xml:space="preserve">{</w:t>
      </w:r>
      <w:r>
        <w:br/>
      </w:r>
      <w:r>
        <w:rPr>
          <w:color w:val="2d3436"/>
        </w:rPr>
        <w:t xml:space="preserve">  const html = useMemo(() =&gt;</w:t>
      </w:r>
      <w:r>
        <w:br/>
      </w:r>
      <w:r>
        <w:rPr>
          <w:color w:val="2d3436"/>
        </w:rPr>
        <w:t xml:space="preserve">    katex.renderToString(math, {</w:t>
      </w:r>
      <w:r>
        <w:br/>
      </w:r>
      <w:r>
        <w:rPr>
          <w:color w:val="2d3436"/>
        </w:rPr>
        <w:t xml:space="preserve">      displayMode: display,</w:t>
      </w:r>
      <w:r>
        <w:br/>
      </w:r>
      <w:r>
        <w:rPr>
          <w:color w:val="2d3436"/>
        </w:rPr>
        <w:t xml:space="preserve">      throwOnError: false</w:t>
      </w:r>
      <w:r>
        <w:br/>
      </w:r>
      <w:r>
        <w:rPr>
          <w:color w:val="2d3436"/>
        </w:rPr>
        <w:t xml:space="preserve">    }), [math, display]);</w:t>
      </w:r>
      <w:r>
        <w:br/>
      </w:r>
      <w:r>
        <w:rPr>
          <w:color w:val="2d3436"/>
        </w:rPr>
        <w:t xml:space="preserve">  return &lt;span</w:t>
      </w:r>
      <w:r>
        <w:br/>
      </w:r>
      <w:r>
        <w:rPr>
          <w:color w:val="2d3436"/>
        </w:rPr>
        <w:t xml:space="preserve">    dangerouslySetInnerHTML={{ __html: html }}</w:t>
      </w:r>
      <w:r>
        <w:br/>
      </w:r>
      <w:r>
        <w:rPr>
          <w:color w:val="2d3436"/>
        </w:rPr>
        <w:t xml:space="preserve">  /&gt;;</w:t>
      </w:r>
      <w:r>
        <w:br/>
      </w:r>
      <w:r>
        <w:rPr>
          <w:color w:val="2d3436"/>
        </w:rPr>
        <w:t xml:space="preserve">}</w:t>
      </w:r>
    </w:p>
    <w:p>
      <w:pPr>
        <w:pStyle w:val="Heading2"/>
      </w:pPr>
      <w:r>
        <w:t>关键注意事项</w:t>
      </w:r>
    </w:p>
    <w:p>
      <w:pPr>
        <w:spacing w:after="80"/>
        <w:ind w:left="360" w:hanging="360"/>
      </w:pPr>
      <w:r>
        <w:t>• 所有文本中的希腊字母（如 theta）直接使用 Unicode 字符（θ），不使用 LaTeX 转义</w:t>
      </w:r>
    </w:p>
    <w:p>
      <w:pPr>
        <w:spacing w:after="80"/>
        <w:ind w:left="360" w:hanging="360"/>
      </w:pPr>
      <w:r>
        <w:t>• 公式字符串使用 String.raw 或手动双反斜杠避免转义问题</w:t>
      </w:r>
    </w:p>
    <w:p>
      <w:pPr>
        <w:spacing w:after="80"/>
        <w:ind w:left="360" w:hanging="360"/>
      </w:pPr>
      <w:r>
        <w:t>• 特别注意 \t 在字符串中会被解析为 TAB 字符，导致 KaTeX 渲染失败</w:t>
      </w:r>
    </w:p>
    <w:p>
      <w:pPr>
        <w:pStyle w:val="Heading1"/>
      </w:pPr>
      <w:r>
        <w:t>三、代价函数设计</w:t>
      </w:r>
    </w:p>
    <w:p>
      <w:pPr>
        <w:ind w:firstLine="0"/>
      </w:pPr>
      <w:r>
        <w:t>代价函数是梯度下降页的核心。设计要求：局部最优很高（~2）、周围平坦、全局最优深（θ≈6）、从 J=3.5 出发。最终采用八次多项式，通过数值优化求解系数。</w:t>
      </w:r>
    </w:p>
    <w:p>
      <w:pPr>
        <w:pStyle w:val="Heading2"/>
      </w:pPr>
      <w:r>
        <w:t>3.1 八次多项式系数</w:t>
      </w:r>
    </w:p>
    <w:p>
      <w:pPr>
        <w:ind w:firstLine="0"/>
      </w:pPr>
      <w:r>
        <w:t>以下是最终确定的代价函数多项式系数（从高次到低次）：</w:t>
      </w:r>
    </w:p>
    <w:p>
      <w:pPr>
        <w:pStyle w:val="Code"/>
      </w:pPr>
      <w:r>
        <w:rPr>
          <w:color w:val="2d3436"/>
        </w:rPr>
        <w:t xml:space="preserve">const COEFFS = [</w:t>
      </w:r>
      <w:r>
        <w:br/>
      </w:r>
      <w:r>
        <w:rPr>
          <w:color w:val="2d3436"/>
        </w:rPr>
        <w:t xml:space="preserve">  3.5,           // x^0</w:t>
      </w:r>
      <w:r>
        <w:br/>
      </w:r>
      <w:r>
        <w:rPr>
          <w:color w:val="2d3436"/>
        </w:rPr>
        <w:t xml:space="preserve">  -0.5,          // x^1</w:t>
      </w:r>
      <w:r>
        <w:br/>
      </w:r>
      <w:r>
        <w:rPr>
          <w:color w:val="2d3436"/>
        </w:rPr>
        <w:t xml:space="preserve">  2.1416005787,  // x^2</w:t>
      </w:r>
      <w:r>
        <w:br/>
      </w:r>
      <w:r>
        <w:rPr>
          <w:color w:val="2d3436"/>
        </w:rPr>
        <w:t xml:space="preserve">  -4.9159963233, // x^3</w:t>
      </w:r>
      <w:r>
        <w:br/>
      </w:r>
      <w:r>
        <w:rPr>
          <w:color w:val="2d3436"/>
        </w:rPr>
        <w:t xml:space="preserve">  3.8283561222,  // x^4</w:t>
      </w:r>
      <w:r>
        <w:br/>
      </w:r>
      <w:r>
        <w:rPr>
          <w:color w:val="2d3436"/>
        </w:rPr>
        <w:t xml:space="preserve">  -1.4186265257, // x^5</w:t>
      </w:r>
      <w:r>
        <w:br/>
      </w:r>
      <w:r>
        <w:rPr>
          <w:color w:val="2d3436"/>
        </w:rPr>
        <w:t xml:space="preserve">  0.2747269485,  // x^6</w:t>
      </w:r>
      <w:r>
        <w:br/>
      </w:r>
      <w:r>
        <w:rPr>
          <w:color w:val="2d3436"/>
        </w:rPr>
        <w:t xml:space="preserve">  -0.0269551228, // x^7</w:t>
      </w:r>
      <w:r>
        <w:br/>
      </w:r>
      <w:r>
        <w:rPr>
          <w:color w:val="2d3436"/>
        </w:rPr>
        <w:t xml:space="preserve">  0.0010611334,  // x^8</w:t>
      </w:r>
      <w:r>
        <w:br/>
      </w:r>
      <w:r>
        <w:rPr>
          <w:color w:val="2d3436"/>
        </w:rPr>
        <w:t xml:space="preserve">];</w:t>
      </w:r>
    </w:p>
    <w:p>
      <w:pPr>
        <w:pStyle w:val="Heading2"/>
      </w:pPr>
      <w:r>
        <w:t>3.2 costFn 与 gradFn 实现</w:t>
      </w:r>
    </w:p>
    <w:p>
      <w:pPr>
        <w:pStyle w:val="Code"/>
      </w:pPr>
      <w:r>
        <w:rPr>
          <w:color w:val="2d3436"/>
        </w:rPr>
        <w:t xml:space="preserve">function costFn(theta: number): number {</w:t>
      </w:r>
      <w:r>
        <w:br/>
      </w:r>
      <w:r>
        <w:rPr>
          <w:color w:val="2d3436"/>
        </w:rPr>
        <w:t xml:space="preserve">  let result = 0;</w:t>
      </w:r>
      <w:r>
        <w:br/>
      </w:r>
      <w:r>
        <w:rPr>
          <w:color w:val="2d3436"/>
        </w:rPr>
        <w:t xml:space="preserve">  for (let i = 0; i &lt; COEFFS.length; i++)</w:t>
      </w:r>
      <w:r>
        <w:br/>
      </w:r>
      <w:r>
        <w:rPr>
          <w:color w:val="2d3436"/>
        </w:rPr>
        <w:t xml:space="preserve">    result += COEFFS[i] * Math.pow(theta, i);</w:t>
      </w:r>
      <w:r>
        <w:br/>
      </w:r>
      <w:r>
        <w:rPr>
          <w:color w:val="2d3436"/>
        </w:rPr>
        <w:t xml:space="preserve">  return result;</w:t>
      </w:r>
      <w:r>
        <w:br/>
      </w:r>
      <w:r>
        <w:rPr>
          <w:color w:val="2d3436"/>
        </w:rPr>
        <w:t xml:space="preserve">}</w:t>
      </w:r>
      <w:r>
        <w:br/>
      </w:r>
      <w:r>
        <w:rPr>
          <w:color w:val="2d3436"/>
        </w:rPr>
        <w:t xml:space="preserve"/>
      </w:r>
      <w:r>
        <w:br/>
      </w:r>
      <w:r>
        <w:rPr>
          <w:color w:val="2d3436"/>
        </w:rPr>
        <w:t xml:space="preserve">function gradFn(theta: number): number {</w:t>
      </w:r>
      <w:r>
        <w:br/>
      </w:r>
      <w:r>
        <w:rPr>
          <w:color w:val="2d3436"/>
        </w:rPr>
        <w:t xml:space="preserve">  let result = 0;</w:t>
      </w:r>
      <w:r>
        <w:br/>
      </w:r>
      <w:r>
        <w:rPr>
          <w:color w:val="2d3436"/>
        </w:rPr>
        <w:t xml:space="preserve">  for (let i = 1; i &lt; COEFFS.length; i++)</w:t>
      </w:r>
      <w:r>
        <w:br/>
      </w:r>
      <w:r>
        <w:rPr>
          <w:color w:val="2d3436"/>
        </w:rPr>
        <w:t xml:space="preserve">    result += i * COEFFS[i] * Math.pow(theta, i - 1);</w:t>
      </w:r>
      <w:r>
        <w:br/>
      </w:r>
      <w:r>
        <w:rPr>
          <w:color w:val="2d3436"/>
        </w:rPr>
        <w:t xml:space="preserve">  return result;</w:t>
      </w:r>
      <w:r>
        <w:br/>
      </w:r>
      <w:r>
        <w:rPr>
          <w:color w:val="2d3436"/>
        </w:rPr>
        <w:t xml:space="preserve">}</w:t>
      </w:r>
    </w:p>
    <w:p>
      <w:pPr>
        <w:pStyle w:val="Heading1"/>
      </w:pPr>
      <w:r>
        <w:t>四、梯度下降算法</w:t>
      </w:r>
    </w:p>
    <w:p>
      <w:pPr>
        <w:ind w:firstLine="0"/>
      </w:pPr>
      <w:r>
        <w:t>梯度下降采用带动量（Momentum）的更新规则，帮助越过局部最优到达全局最优。</w:t>
      </w:r>
    </w:p>
    <w:p>
      <w:pPr>
        <w:pStyle w:val="Heading2"/>
      </w:pPr>
      <w:r>
        <w:t>4.1 带动量梯度下降</w:t>
      </w:r>
    </w:p>
    <w:p>
      <w:pPr>
        <w:pStyle w:val="Code"/>
      </w:pPr>
      <w:r>
        <w:rPr>
          <w:color w:val="2d3436"/>
        </w:rPr>
        <w:t xml:space="preserve">function runGD(</w:t>
      </w:r>
      <w:r>
        <w:br/>
      </w:r>
      <w:r>
        <w:rPr>
          <w:color w:val="2d3436"/>
        </w:rPr>
        <w:t xml:space="preserve">  alpha: number,</w:t>
      </w:r>
      <w:r>
        <w:br/>
      </w:r>
      <w:r>
        <w:rPr>
          <w:color w:val="2d3436"/>
        </w:rPr>
        <w:t xml:space="preserve">  beta: number = 0.92,</w:t>
      </w:r>
      <w:r>
        <w:br/>
      </w:r>
      <w:r>
        <w:rPr>
          <w:color w:val="2d3436"/>
        </w:rPr>
        <w:t xml:space="preserve">  numSteps: number = 150,</w:t>
      </w:r>
      <w:r>
        <w:br/>
      </w:r>
      <w:r>
        <w:rPr>
          <w:color w:val="2d3436"/>
        </w:rPr>
        <w:t xml:space="preserve">  theta0: number = 0</w:t>
      </w:r>
      <w:r>
        <w:br/>
      </w:r>
      <w:r>
        <w:rPr>
          <w:color w:val="2d3436"/>
        </w:rPr>
        <w:t xml:space="preserve">): number[] {</w:t>
      </w:r>
      <w:r>
        <w:br/>
      </w:r>
      <w:r>
        <w:rPr>
          <w:color w:val="2d3436"/>
        </w:rPr>
        <w:t xml:space="preserve">  const history: number[] = [theta0];</w:t>
      </w:r>
      <w:r>
        <w:br/>
      </w:r>
      <w:r>
        <w:rPr>
          <w:color w:val="2d3436"/>
        </w:rPr>
        <w:t xml:space="preserve">  let theta = theta0, v = 0;</w:t>
      </w:r>
      <w:r>
        <w:br/>
      </w:r>
      <w:r>
        <w:rPr>
          <w:color w:val="2d3436"/>
        </w:rPr>
        <w:t xml:space="preserve">  for (let i = 0; i &lt; numSteps; i++) {</w:t>
      </w:r>
      <w:r>
        <w:br/>
      </w:r>
      <w:r>
        <w:rPr>
          <w:color w:val="2d3436"/>
        </w:rPr>
        <w:t xml:space="preserve">    const g = gradFn(theta);</w:t>
      </w:r>
      <w:r>
        <w:br/>
      </w:r>
      <w:r>
        <w:rPr>
          <w:color w:val="2d3436"/>
        </w:rPr>
        <w:t xml:space="preserve">    v = beta * v + (1 - beta) * g;</w:t>
      </w:r>
      <w:r>
        <w:br/>
      </w:r>
      <w:r>
        <w:rPr>
          <w:color w:val="2d3436"/>
        </w:rPr>
        <w:t xml:space="preserve">    theta = theta - alpha * v;</w:t>
      </w:r>
      <w:r>
        <w:br/>
      </w:r>
      <w:r>
        <w:rPr>
          <w:color w:val="2d3436"/>
        </w:rPr>
        <w:t xml:space="preserve">    history.push(theta);</w:t>
      </w:r>
      <w:r>
        <w:br/>
      </w:r>
      <w:r>
        <w:rPr>
          <w:color w:val="2d3436"/>
        </w:rPr>
        <w:t xml:space="preserve">    if (theta &lt; -2 || theta &gt; 10) break;</w:t>
      </w:r>
      <w:r>
        <w:br/>
      </w:r>
      <w:r>
        <w:rPr>
          <w:color w:val="2d3436"/>
        </w:rPr>
        <w:t xml:space="preserve">  }</w:t>
      </w:r>
      <w:r>
        <w:br/>
      </w:r>
      <w:r>
        <w:rPr>
          <w:color w:val="2d3436"/>
        </w:rPr>
        <w:t xml:space="preserve">  return history;</w:t>
      </w:r>
      <w:r>
        <w:br/>
      </w:r>
      <w:r>
        <w:rPr>
          <w:color w:val="2d3436"/>
        </w:rPr>
        <w:t xml:space="preserve">}</w:t>
      </w:r>
    </w:p>
    <w:p>
      <w:pPr>
        <w:ind w:firstLine="0"/>
      </w:pPr>
      <w:r>
        <w:t>更新规则说明：v := βv + (1-β)∇J; θ := θ - αv。其中 β=0.92 为动量系数，α 为学习率。</w:t>
      </w:r>
    </w:p>
    <w:p>
      <w:pPr>
        <w:pStyle w:val="Heading2"/>
      </w:pPr>
      <w:r>
        <w:t>4.2 学习率预设参数</w:t>
      </w:r>
    </w:p>
    <w:p>
      <w:pPr>
        <w:ind w:firstLine="0"/>
      </w:pPr>
      <w:r>
        <w:t>三种学习率用于展示不同行为：</w:t>
      </w:r>
    </w:p>
    <w:tbl>
      <w:tblPr>
        <w:tblBorders>
          <w:top w:val="single" w:color="dfe6e9" w:sz="4"/>
          <w:left w:val="single" w:color="dfe6e9" w:sz="4"/>
          <w:bottom w:val="single" w:color="dfe6e9" w:sz="4"/>
          <w:right w:val="single" w:color="dfe6e9" w:sz="4"/>
          <w:insideH w:val="single" w:color="dfe6e9" w:sz="4"/>
          <w:insideV w:val="single" w:color="dfe6e9" w:sz="4"/>
        </w:tblBorders>
      </w:tblPr>
      <w:tblGrid>
        <w:gridCol/>
        <w:gridCol/>
        <w:gridCol/>
        <w:gridCol/>
        <w:gridCol/>
      </w:tblGrid>
      <w:tr>
        <w:tc>
          <w:tcPr>
            <w:shd w:val="clear" w:fill="e8f4f8"/>
          </w:tcPr>
          <w:p>
            <w:pPr>
              <w:jc w:val="center"/>
            </w:pPr>
            <w:r>
              <w:rPr>
                <w:rFonts w:ascii="Consolas" w:hAnsi="Consolas" w:eastAsia="Microsoft YaHei"/>
                <w:b/>
                <w:sz w:val="20"/>
              </w:rPr>
              <w:t>标签</w:t>
            </w:r>
          </w:p>
        </w:tc>
        <w:tc>
          <w:tcPr>
            <w:shd w:val="clear" w:fill="e8f4f8"/>
          </w:tcPr>
          <w:p>
            <w:pPr>
              <w:jc w:val="center"/>
            </w:pPr>
            <w:r>
              <w:rPr>
                <w:rFonts w:ascii="Consolas" w:hAnsi="Consolas" w:eastAsia="Microsoft YaHei"/>
                <w:b/>
                <w:sz w:val="20"/>
              </w:rPr>
              <w:t>学习率</w:t>
            </w:r>
          </w:p>
        </w:tc>
        <w:tc>
          <w:tcPr>
            <w:shd w:val="clear" w:fill="e8f4f8"/>
          </w:tcPr>
          <w:p>
            <w:pPr>
              <w:jc w:val="center"/>
            </w:pPr>
            <w:r>
              <w:rPr>
                <w:rFonts w:ascii="Consolas" w:hAnsi="Consolas" w:eastAsia="Microsoft YaHei"/>
                <w:b/>
                <w:sz w:val="20"/>
              </w:rPr>
              <w:t>描述</w:t>
            </w:r>
          </w:p>
        </w:tc>
        <w:tc>
          <w:tcPr>
            <w:shd w:val="clear" w:fill="e8f4f8"/>
          </w:tcPr>
          <w:p>
            <w:pPr>
              <w:jc w:val="center"/>
            </w:pPr>
            <w:r>
              <w:rPr>
                <w:rFonts w:ascii="Consolas" w:hAnsi="Consolas" w:eastAsia="Microsoft YaHei"/>
                <w:b/>
                <w:sz w:val="20"/>
              </w:rPr>
              <w:t>行为</w:t>
            </w:r>
          </w:p>
        </w:tc>
        <w:tc>
          <w:tcPr>
            <w:shd w:val="clear" w:fill="e8f4f8"/>
          </w:tcPr>
          <w:p>
            <w:pPr>
              <w:jc w:val="center"/>
            </w:pPr>
            <w:r>
              <w:rPr>
                <w:rFonts w:ascii="Consolas" w:hAnsi="Consolas" w:eastAsia="Microsoft YaHei"/>
                <w:b/>
                <w:sz w:val="20"/>
              </w:rPr>
              <w:t>颜色</w:t>
            </w:r>
          </w:p>
        </w:tc>
      </w:tr>
      <w:tr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α = 0.05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0.05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太小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收敛极慢，在局部最优 θ≈2 附近停滞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#f08a5d</w:t>
            </w:r>
          </w:p>
        </w:tc>
      </w:tr>
      <w:tr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α = 0.25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0.25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适中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越过障碍，收敛到全局最小值 θ≈6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#00b4a6</w:t>
            </w:r>
          </w:p>
        </w:tc>
      </w:tr>
      <w:tr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α = 2.00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2.00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太大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越过最小值，代价函数发散</w:t>
            </w:r>
          </w:p>
        </w:tc>
        <w:tc>
          <w:p>
            <w:pPr>
              <w:jc w:val="center"/>
            </w:pPr>
            <w:r>
              <w:rPr>
                <w:rFonts w:ascii="Consolas" w:hAnsi="Consolas" w:eastAsia="Microsoft YaHei"/>
                <w:sz w:val="20"/>
              </w:rPr>
              <w:t>#e25b5b</w:t>
            </w:r>
          </w:p>
        </w:tc>
      </w:tr>
    </w:tbl>
    <w:p>
      <w:pPr>
        <w:pStyle w:val="Heading1"/>
      </w:pPr>
      <w:r>
        <w:t>五、正规方程</w:t>
      </w:r>
    </w:p>
    <w:p>
      <w:pPr>
        <w:ind w:firstLine="0"/>
      </w:pPr>
      <w:r>
        <w:t>正规方程页需要矩阵乘法来计算 (X^T X)^(-1) X^T y。早期版本使用只能处理 2×2 的 matMul22，后修复为通用矩阵乘法。</w:t>
      </w:r>
    </w:p>
    <w:p>
      <w:pPr>
        <w:pStyle w:val="Code"/>
      </w:pPr>
      <w:r>
        <w:rPr>
          <w:color w:val="2d3436"/>
        </w:rPr>
        <w:t xml:space="preserve">function matMul(a: number[][], b: number[][]): number[][] {</w:t>
      </w:r>
      <w:r>
        <w:br/>
      </w:r>
      <w:r>
        <w:rPr>
          <w:color w:val="2d3436"/>
        </w:rPr>
        <w:t xml:space="preserve">  const aRows = a.length;</w:t>
      </w:r>
      <w:r>
        <w:br/>
      </w:r>
      <w:r>
        <w:rPr>
          <w:color w:val="2d3436"/>
        </w:rPr>
        <w:t xml:space="preserve">  const aCols = a[0].length;</w:t>
      </w:r>
      <w:r>
        <w:br/>
      </w:r>
      <w:r>
        <w:rPr>
          <w:color w:val="2d3436"/>
        </w:rPr>
        <w:t xml:space="preserve">  const bCols = b[0].length;</w:t>
      </w:r>
      <w:r>
        <w:br/>
      </w:r>
      <w:r>
        <w:rPr>
          <w:color w:val="2d3436"/>
        </w:rPr>
        <w:t xml:space="preserve">  const out: number[][] = Array.from(</w:t>
      </w:r>
      <w:r>
        <w:br/>
      </w:r>
      <w:r>
        <w:rPr>
          <w:color w:val="2d3436"/>
        </w:rPr>
        <w:t xml:space="preserve">    { length: aRows },</w:t>
      </w:r>
      <w:r>
        <w:br/>
      </w:r>
      <w:r>
        <w:rPr>
          <w:color w:val="2d3436"/>
        </w:rPr>
        <w:t xml:space="preserve">    () =&gt; Array(bCols).fill(0)</w:t>
      </w:r>
      <w:r>
        <w:br/>
      </w:r>
      <w:r>
        <w:rPr>
          <w:color w:val="2d3436"/>
        </w:rPr>
        <w:t xml:space="preserve">  );</w:t>
      </w:r>
      <w:r>
        <w:br/>
      </w:r>
      <w:r>
        <w:rPr>
          <w:color w:val="2d3436"/>
        </w:rPr>
        <w:t xml:space="preserve">  for (let i = 0; i &lt; aRows; i++)</w:t>
      </w:r>
      <w:r>
        <w:br/>
      </w:r>
      <w:r>
        <w:rPr>
          <w:color w:val="2d3436"/>
        </w:rPr>
        <w:t xml:space="preserve">    for (let j = 0; j &lt; bCols; j++)</w:t>
      </w:r>
      <w:r>
        <w:br/>
      </w:r>
      <w:r>
        <w:rPr>
          <w:color w:val="2d3436"/>
        </w:rPr>
        <w:t xml:space="preserve">      for (let k = 0; k &lt; aCols; k++)</w:t>
      </w:r>
      <w:r>
        <w:br/>
      </w:r>
      <w:r>
        <w:rPr>
          <w:color w:val="2d3436"/>
        </w:rPr>
        <w:t xml:space="preserve">        out[i][j] += a[i][k] * b[k][j];</w:t>
      </w:r>
      <w:r>
        <w:br/>
      </w:r>
      <w:r>
        <w:rPr>
          <w:color w:val="2d3436"/>
        </w:rPr>
        <w:t xml:space="preserve">  return out;</w:t>
      </w:r>
      <w:r>
        <w:br/>
      </w:r>
      <w:r>
        <w:rPr>
          <w:color w:val="2d3436"/>
        </w:rPr>
        <w:t xml:space="preserve">}</w:t>
      </w:r>
    </w:p>
    <w:p>
      <w:pPr>
        <w:ind w:firstLine="0"/>
      </w:pPr>
      <w:r>
        <w:t>关键修复：原 matMul22 只能乘 2×2 矩阵，当 X 为 20×2 时，X^T 为 2×20，与 X（20×2）相乘结果应为 2×2，但中间维度处理错误导致拟合结果与实际数据不符。</w:t>
      </w:r>
    </w:p>
    <w:p>
      <w:pPr>
        <w:pStyle w:val="Heading1"/>
      </w:pPr>
      <w:r>
        <w:t>六、各页面关键实现要点</w:t>
      </w:r>
    </w:p>
    <w:p>
      <w:pPr>
        <w:pStyle w:val="Heading2"/>
      </w:pPr>
      <w:r>
        <w:t>概览页</w:t>
      </w:r>
    </w:p>
    <w:p>
      <w:pPr>
        <w:spacing w:after="80"/>
        <w:ind w:left="360" w:hanging="360"/>
      </w:pPr>
      <w:r>
        <w:t>• 添加醒目标语声明："本教程为独立原创内容，与任何特定课程无直接关联"</w:t>
      </w:r>
    </w:p>
    <w:p>
      <w:pPr>
        <w:spacing w:after="80"/>
        <w:ind w:left="360" w:hanging="360"/>
      </w:pPr>
      <w:r>
        <w:t>• 所有 h_θ(x) 使用 Unicode θ，不使用 LaTeX 转义</w:t>
      </w:r>
    </w:p>
    <w:p>
      <w:pPr>
        <w:spacing w:after="80"/>
        <w:ind w:left="360" w:hanging="360"/>
      </w:pPr>
      <w:r>
        <w:t>• Footer 文案改为"机器学习基础教程"，去掉外部课程引用</w:t>
      </w:r>
    </w:p>
    <w:p>
      <w:pPr>
        <w:pStyle w:val="Heading2"/>
      </w:pPr>
      <w:r>
        <w:t>模型表示页</w:t>
      </w:r>
    </w:p>
    <w:p>
      <w:pPr>
        <w:spacing w:after="80"/>
        <w:ind w:left="360" w:hanging="360"/>
      </w:pPr>
      <w:r>
        <w:t>• D3.js 散点图 + 回归线，legend 放置在左上角</w:t>
      </w:r>
    </w:p>
    <w:p>
      <w:pPr>
        <w:spacing w:after="80"/>
        <w:ind w:left="360" w:hanging="360"/>
      </w:pPr>
      <w:r>
        <w:t>• 交互：可拖动数据点实时更新拟合直线</w:t>
      </w:r>
    </w:p>
    <w:p>
      <w:pPr>
        <w:pStyle w:val="Heading2"/>
      </w:pPr>
      <w:r>
        <w:t>代价函数页</w:t>
      </w:r>
    </w:p>
    <w:p>
      <w:pPr>
        <w:spacing w:after="80"/>
        <w:ind w:left="360" w:hanging="360"/>
      </w:pPr>
      <w:r>
        <w:t>• 一维代价函数曲线展示凸优化过程</w:t>
      </w:r>
    </w:p>
    <w:p>
      <w:pPr>
        <w:spacing w:after="80"/>
        <w:ind w:left="360" w:hanging="360"/>
      </w:pPr>
      <w:r>
        <w:t>• 动画展示梯度下降每一步的参数更新</w:t>
      </w:r>
    </w:p>
    <w:p>
      <w:pPr>
        <w:pStyle w:val="Heading2"/>
      </w:pPr>
      <w:r>
        <w:t>梯度下降页</w:t>
      </w:r>
    </w:p>
    <w:p>
      <w:pPr>
        <w:spacing w:after="80"/>
        <w:ind w:left="360" w:hanging="360"/>
      </w:pPr>
      <w:r>
        <w:t>• 核心页：带动量 GD，三种学习率行为对比</w:t>
      </w:r>
    </w:p>
    <w:p>
      <w:pPr>
        <w:spacing w:after="80"/>
        <w:ind w:left="360" w:hanging="360"/>
      </w:pPr>
      <w:r>
        <w:t>• 代价函数使用八次多项式（见第三章）</w:t>
      </w:r>
    </w:p>
    <w:p>
      <w:pPr>
        <w:spacing w:after="80"/>
        <w:ind w:left="360" w:hanging="360"/>
      </w:pPr>
      <w:r>
        <w:t>• 轨迹动画同步展示在代价函数曲线上</w:t>
      </w:r>
    </w:p>
    <w:p>
      <w:pPr>
        <w:pStyle w:val="Heading2"/>
      </w:pPr>
      <w:r>
        <w:t>正规方程页</w:t>
      </w:r>
    </w:p>
    <w:p>
      <w:pPr>
        <w:spacing w:after="80"/>
        <w:ind w:left="360" w:hanging="360"/>
      </w:pPr>
      <w:r>
        <w:t>• 矩阵分步计算展示：X^T X → 求逆 → 乘 X^T y</w:t>
      </w:r>
    </w:p>
    <w:p>
      <w:pPr>
        <w:spacing w:after="80"/>
        <w:ind w:left="360" w:hanging="360"/>
      </w:pPr>
      <w:r>
        <w:t>• 使用通用 matMul（见第五章），不可使用简化版</w:t>
      </w:r>
    </w:p>
    <w:p>
      <w:pPr>
        <w:pStyle w:val="Heading2"/>
      </w:pPr>
      <w:r>
        <w:t>概率解释页</w:t>
      </w:r>
    </w:p>
    <w:p>
      <w:pPr>
        <w:spacing w:after="80"/>
        <w:ind w:left="360" w:hanging="360"/>
      </w:pPr>
      <w:r>
        <w:t>• 似然函数与对数似然公式推导</w:t>
      </w:r>
    </w:p>
    <w:p>
      <w:pPr>
        <w:spacing w:after="80"/>
        <w:ind w:left="360" w:hanging="360"/>
      </w:pPr>
      <w:r>
        <w:t>• 高斯图固定坐标轴范围，避免动画抖动</w:t>
      </w:r>
    </w:p>
    <w:p>
      <w:pPr>
        <w:pStyle w:val="Heading2"/>
      </w:pPr>
      <w:r>
        <w:t>过拟合页</w:t>
      </w:r>
    </w:p>
    <w:p>
      <w:pPr>
        <w:spacing w:after="80"/>
        <w:ind w:left="360" w:hanging="360"/>
      </w:pPr>
      <w:r>
        <w:t>• 模型阶数控制滑块（1–20 可调）</w:t>
      </w:r>
    </w:p>
    <w:p>
      <w:pPr>
        <w:spacing w:after="80"/>
        <w:ind w:left="360" w:hanging="360"/>
      </w:pPr>
      <w:r>
        <w:t>• 当阶数 ≥3 时才绘制过拟合曲线，避免与低阶曲线完全重合</w:t>
      </w:r>
    </w:p>
    <w:p>
      <w:pPr>
        <w:spacing w:after="80"/>
        <w:ind w:left="360" w:hanging="360"/>
      </w:pPr>
      <w:r>
        <w:t>• 展示训练误差与测试误差随模型复杂度变化</w:t>
      </w:r>
    </w:p>
    <w:p>
      <w:pPr>
        <w:pStyle w:val="Heading1"/>
      </w:pPr>
      <w:r>
        <w:t>七、常见错误与修复</w:t>
      </w:r>
    </w:p>
    <w:p>
      <w:pPr>
        <w:pStyle w:val="Heading2"/>
      </w:pPr>
      <w:r>
        <w:t>错误 1：LaTeX {"\theta"} 渲染异常</w:t>
      </w:r>
    </w:p>
    <w:p>
      <w:pPr>
        <w:ind w:firstLine="0"/>
      </w:pPr>
      <w:r>
        <w:t>原因：JSX 中 {"\theta"} 的 \t 被解析为 TAB 字符。修复：所有文本中的 θ 改用 Unicode 字符；公式中用 KaTeX 组件。</w:t>
      </w:r>
    </w:p>
    <w:p>
      <w:pPr>
        <w:pStyle w:val="Heading2"/>
      </w:pPr>
      <w:r>
        <w:t>错误 2：正规方程拟合与数据对不上</w:t>
      </w:r>
    </w:p>
    <w:p>
      <w:pPr>
        <w:ind w:firstLine="0"/>
      </w:pPr>
      <w:r>
        <w:t>原因：matMul22 只能乘 2×2 矩阵，但 Xt 是 2×20，结果只取前两列。修复：改为通用 matMul 函数。</w:t>
      </w:r>
    </w:p>
    <w:p>
      <w:pPr>
        <w:pStyle w:val="Heading2"/>
      </w:pPr>
      <w:r>
        <w:t>错误 3：过拟合 degree=1,2 时曲线重合</w:t>
      </w:r>
    </w:p>
    <w:p>
      <w:pPr>
        <w:ind w:firstLine="0"/>
      </w:pPr>
      <w:r>
        <w:t>原因：degree=1 时 thetaOver 和 theta1 完全相同。修复：if (overDegree &gt;= 3) 才绘制过拟合曲线。</w:t>
      </w:r>
    </w:p>
    <w:p>
      <w:pPr>
        <w:pStyle w:val="Heading2"/>
      </w:pPr>
      <w:r>
        <w:t>错误 4：Footer 和概览页有外部课程引用</w:t>
      </w:r>
    </w:p>
    <w:p>
      <w:pPr>
        <w:ind w:firstLine="0"/>
      </w:pPr>
      <w:r>
        <w:t>修复：改为"机器学习基础教程"，添加独立原创声明。</w:t>
      </w:r>
    </w:p>
    <w:p>
      <w:pPr>
        <w:pStyle w:val="Heading2"/>
      </w:pPr>
      <w:r>
        <w:t>错误 5：代价函数不光滑或引入额外驻点</w:t>
      </w:r>
    </w:p>
    <w:p>
      <w:pPr>
        <w:ind w:firstLine="0"/>
      </w:pPr>
      <w:r>
        <w:t>原因：CubicSpline / Pchip / Akima 插值引入额外极值点。修复：采用八次多项式，通过线性约束 + 零空间搜索直接求解系数，保证全局仅有一个局部最优和一个全局最优。</w:t>
      </w:r>
    </w:p>
    <w:sectPr>
      <w:headerReference w:type="default" r:id="R6f98adfedd9b4673"/>
      <w:footerReference w:type="default" r:id="R4834abc9d3744699"/>
      <w:pgSz w:w="11906" w:h="16838"/>
      <w:pgMar w:top="180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onsolas" w:hAnsi="Consolas" w:eastAsia="Microsoft YaHei"/>
        <w:color w:val="95a5a6"/>
        <w:sz w:val="18"/>
      </w:rPr>
      <w:t xml:space="preserve">第 </w:t>
    </w:r>
    <w:r>
      <w:rPr>
        <w:rFonts w:ascii="Consolas" w:hAnsi="Consolas" w:eastAsia="Microsoft YaHei"/>
        <w:color w:val="95a5a6"/>
        <w:sz w:val="18"/>
      </w:rPr>
      <w:fldChar w:fldCharType="begin"/>
    </w:r>
    <w:r>
      <w:rPr>
        <w:rFonts w:ascii="Consolas" w:hAnsi="Consolas" w:eastAsia="Microsoft YaHei"/>
        <w:color w:val="95a5a6"/>
        <w:sz w:val="18"/>
      </w:rPr>
      <w:instrText xml:space="preserve"> PAGE </w:instrText>
    </w:r>
    <w:r>
      <w:rPr>
        <w:rFonts w:ascii="Consolas" w:hAnsi="Consolas" w:eastAsia="Microsoft YaHei"/>
        <w:color w:val="95a5a6"/>
        <w:sz w:val="18"/>
      </w:rPr>
      <w:fldChar w:fldCharType="separate"/>
    </w:r>
    <w:r>
      <w:rPr>
        <w:rFonts w:ascii="Consolas" w:hAnsi="Consolas" w:eastAsia="Microsoft YaHei"/>
        <w:color w:val="95a5a6"/>
        <w:sz w:val="18"/>
      </w:rPr>
      <w:t>1</w:t>
    </w:r>
    <w:r>
      <w:rPr>
        <w:rFonts w:ascii="Consolas" w:hAnsi="Consolas" w:eastAsia="Microsoft YaHei"/>
        <w:color w:val="95a5a6"/>
        <w:sz w:val="18"/>
      </w:rPr>
      <w:fldChar w:fldCharType="end"/>
    </w:r>
    <w:r>
      <w:rPr>
        <w:rFonts w:ascii="Consolas" w:hAnsi="Consolas" w:eastAsia="Microsoft YaHei"/>
        <w:color w:val="95a5a6"/>
        <w:sz w:val="18"/>
      </w:rPr>
      <w:t xml:space="preserve"> 页 / 共 </w:t>
    </w:r>
    <w:r>
      <w:rPr>
        <w:rFonts w:ascii="Consolas" w:hAnsi="Consolas" w:eastAsia="Microsoft YaHei"/>
        <w:color w:val="95a5a6"/>
        <w:sz w:val="18"/>
      </w:rPr>
      <w:fldChar w:fldCharType="begin"/>
    </w:r>
    <w:r>
      <w:rPr>
        <w:rFonts w:ascii="Consolas" w:hAnsi="Consolas" w:eastAsia="Microsoft YaHei"/>
        <w:color w:val="95a5a6"/>
        <w:sz w:val="18"/>
      </w:rPr>
      <w:instrText xml:space="preserve"> NUMPAGES </w:instrText>
    </w:r>
    <w:r>
      <w:rPr>
        <w:rFonts w:ascii="Consolas" w:hAnsi="Consolas" w:eastAsia="Microsoft YaHei"/>
        <w:color w:val="95a5a6"/>
        <w:sz w:val="18"/>
      </w:rPr>
      <w:fldChar w:fldCharType="separate"/>
    </w:r>
    <w:r>
      <w:rPr>
        <w:rFonts w:ascii="Consolas" w:hAnsi="Consolas" w:eastAsia="Microsoft YaHei"/>
        <w:color w:val="95a5a6"/>
        <w:sz w:val="18"/>
      </w:rPr>
      <w:t>1</w:t>
    </w:r>
    <w:r>
      <w:rPr>
        <w:rFonts w:ascii="Consolas" w:hAnsi="Consolas" w:eastAsia="Microsoft YaHei"/>
        <w:color w:val="95a5a6"/>
        <w:sz w:val="18"/>
      </w:rPr>
      <w:fldChar w:fldCharType="end"/>
    </w:r>
    <w:r>
      <w:rPr>
        <w:rFonts w:ascii="Consolas" w:hAnsi="Consolas" w:eastAsia="Microsoft YaHei"/>
        <w:color w:val="95a5a6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onsolas" w:hAnsi="Consolas" w:eastAsia="Microsoft YaHei"/>
        <w:color w:val="95a5a6"/>
        <w:sz w:val="18"/>
      </w:rPr>
      <w:t>机器学习基础教程 — 排版参数与代码参考手册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40" w:lineRule="auto"/>
      <w:ind w:firstLine="0"/>
    </w:pPr>
    <w:rPr>
      <w:rFonts w:ascii="Consolas" w:hAnsi="Consolas" w:eastAsia="Microsoft YaHei"/>
      <w:color w:val="2d3436"/>
      <w:sz w:val="21"/>
    </w:rPr>
  </w:style>
  <w:style w:type="paragraph" w:styleId="Heading1">
    <w:name w:val="heading 1"/>
    <w:basedOn w:val="Normal"/>
    <w:pPr>
      <w:keepNext/>
      <w:keepLines/>
      <w:spacing w:before="400" w:after="200"/>
      <w:ind w:firstLine="0"/>
      <w:outlineLvl w:val="0"/>
    </w:pPr>
    <w:rPr>
      <w:rFonts w:ascii="Consolas" w:hAnsi="Consolas" w:eastAsia="Microsoft YaHei"/>
      <w:b/>
      <w:color w:val="1a3a5c"/>
      <w:sz w:val="36"/>
    </w:rPr>
  </w:style>
  <w:style w:type="paragraph" w:styleId="Heading2">
    <w:name w:val="heading 2"/>
    <w:basedOn w:val="Normal"/>
    <w:pPr>
      <w:keepNext/>
      <w:keepLines/>
      <w:spacing w:before="300" w:after="120"/>
      <w:ind w:firstLine="0"/>
      <w:outlineLvl w:val="1"/>
    </w:pPr>
    <w:rPr>
      <w:rFonts w:ascii="Consolas" w:hAnsi="Consolas" w:eastAsia="Microsoft YaHei"/>
      <w:b/>
      <w:color w:val="3a7bd5"/>
      <w:sz w:val="28"/>
    </w:rPr>
  </w:style>
  <w:style w:type="paragraph" w:styleId="Heading3">
    <w:name w:val="heading 3"/>
    <w:basedOn w:val="Normal"/>
    <w:pPr>
      <w:keepNext/>
      <w:keepLines/>
      <w:spacing w:before="200" w:after="80"/>
      <w:ind w:firstLine="0"/>
      <w:outlineLvl w:val="2"/>
    </w:pPr>
    <w:rPr>
      <w:rFonts w:ascii="Consolas" w:hAnsi="Consolas" w:eastAsia="Microsoft YaHei"/>
      <w:b/>
      <w:color w:val="2d3436"/>
      <w:sz w:val="24"/>
    </w:rPr>
  </w:style>
  <w:style w:type="paragraph" w:styleId="Code">
    <w:name w:val="Code"/>
    <w:basedOn w:val="Normal"/>
    <w:pPr>
      <w:shd w:val="clear" w:fill="f8f9fa"/>
      <w:spacing w:before="60" w:after="60" w:line="280" w:lineRule="auto"/>
      <w:ind w:left="240" w:right="240" w:firstLine="0"/>
    </w:pPr>
    <w:rPr>
      <w:rFonts w:ascii="Consolas" w:hAnsi="Consolas" w:eastAsia="Consolas"/>
      <w:color w:val="2d3436"/>
      <w:sz w:val="18"/>
    </w:rPr>
  </w:style>
  <w:style w:type="paragraph" w:styleId="TOC1">
    <w:name w:val="TOC1"/>
    <w:basedOn w:val="Normal"/>
    <w:pPr>
      <w:tabs>
        <w:tab w:val="right" w:leader="dot" w:pos="9350"/>
      </w:tabs>
      <w:spacing w:before="200" w:after="60"/>
      <w:ind w:firstLine="0"/>
    </w:pPr>
    <w:rPr>
      <w:rFonts w:ascii="Consolas" w:hAnsi="Consolas" w:eastAsia="Microsoft YaHei"/>
      <w:b/>
      <w:color w:val="2d3436"/>
    </w:rPr>
  </w:style>
  <w:style w:type="paragraph" w:styleId="TOC2">
    <w:name w:val="TOC2"/>
    <w:basedOn w:val="Normal"/>
    <w:pPr>
      <w:tabs>
        <w:tab w:val="right" w:leader="dot" w:pos="9350"/>
      </w:tabs>
      <w:spacing w:before="60" w:after="40"/>
      <w:ind w:left="360" w:firstLine="0"/>
    </w:pPr>
    <w:rPr>
      <w:rFonts w:ascii="Consolas" w:hAnsi="Consolas" w:eastAsia="Microsoft YaHei"/>
      <w:color w:val="636e72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d0b61da305e40f7" /><Relationship Type="http://schemas.openxmlformats.org/officeDocument/2006/relationships/header" Target="header1.xml" Id="R6f98adfedd9b4673" /><Relationship Type="http://schemas.openxmlformats.org/officeDocument/2006/relationships/footer" Target="footer1.xml" Id="R4834abc9d3744699" /><Relationship Type="http://schemas.openxmlformats.org/officeDocument/2006/relationships/settings" Target="settings.xml" Id="R4e94d3a74ce7452c" /></Relationships>
</file>