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b/>
          <w:sz w:val="40"/>
          <w:u w:val="single"/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sz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72"/>
          <w:lang w:val="bg-BG" w:eastAsia="en-US" w:bidi="ar-SA"/>
        </w:rPr>
      </w:pPr>
      <w:r>
        <w:rPr>
          <w:b/>
          <w:sz w:val="72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Георги Живков Чапъров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Фак. No</w:t>
      </w:r>
      <w:r>
        <w:rPr>
          <w:sz w:val="28"/>
          <w:lang w:val="bg-BG" w:eastAsia="en-US" w:bidi="ar-SA"/>
        </w:rPr>
        <w:t xml:space="preserve"> 223025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 w:left="432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ДОПУСКАМ ДО ЗАЩИТА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sz w:val="28"/>
          <w:lang w:val="bg-BG" w:eastAsia="en-US" w:bidi="ar-SA"/>
        </w:rPr>
        <w:t>Ръководител на катедра КСТ:</w:t>
      </w:r>
      <w:r>
        <w:rPr>
          <w:lang w:val="bg-BG" w:eastAsia="en-US" w:bidi="ar-SA"/>
        </w:rPr>
        <w:t xml:space="preserve"> 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3402"/>
        <w:jc w:val="right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</w:t>
      </w:r>
      <w:r>
        <w:rPr>
          <w:sz w:val="28"/>
          <w:lang w:val="bg-BG" w:eastAsia="en-US" w:bidi="ar-SA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ОБЯСНИТЕЛНА  ЗАПИСКА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НА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 w:eastAsia="en-US" w:bidi="ar-SA"/>
        </w:rPr>
      </w:pPr>
      <w:r>
        <w:rPr>
          <w:b/>
          <w:sz w:val="40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ТЕМА:</w:t>
      </w:r>
    </w:p>
    <w:p>
      <w:pPr>
        <w:pStyle w:val="Normal"/>
        <w:ind w:hanging="0"/>
        <w:jc w:val="center"/>
        <w:rPr>
          <w:sz w:val="32"/>
          <w:lang w:val="bg-BG" w:eastAsia="en-US" w:bidi="ar-SA"/>
        </w:rPr>
      </w:pPr>
      <w:r>
        <w:rPr>
          <w:sz w:val="32"/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Георги Чапъров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ОДОБРЯВАМ:</w:t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Ръководител: 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lang w:val="bg-BG" w:eastAsia="en-US" w:bidi="ar-SA"/>
        </w:rPr>
        <w:t xml:space="preserve"> Marco Porta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Консултант: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                          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</w:t>
      </w:r>
      <w:r>
        <w:rPr>
          <w:sz w:val="28"/>
          <w:lang w:val="bg-BG" w:eastAsia="en-US" w:bidi="ar-SA"/>
        </w:rPr>
        <w:t>/ М. Дечева /                                     / проф. д-р Цв. Георгиев /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 А Д А Н И Е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ЗА</w:t>
      </w:r>
    </w:p>
    <w:p>
      <w:pPr>
        <w:pStyle w:val="Normal"/>
        <w:spacing w:before="0" w:after="0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На студента: Георги Живков Чапъров</w:t>
      </w:r>
      <w:r>
        <w:rPr>
          <w:sz w:val="28"/>
          <w:szCs w:val="28"/>
          <w:lang w:val="bg-BG" w:eastAsia="en-US" w:bidi="ar-SA"/>
        </w:rPr>
        <w:t>, Фак</w:t>
      </w:r>
      <w:r>
        <w:rPr>
          <w:sz w:val="28"/>
          <w:lang w:val="bg-BG" w:eastAsia="en-US" w:bidi="ar-SA"/>
        </w:rPr>
        <w:t>. No: 223025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Специалност: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numPr>
          <w:ilvl w:val="0"/>
          <w:numId w:val="9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Тема:</w:t>
      </w:r>
      <w:r>
        <w:rPr>
          <w:lang w:val="bg-BG" w:eastAsia="en-US" w:bidi="ar-SA"/>
        </w:rPr>
        <w:t xml:space="preserve"> </w:t>
      </w:r>
    </w:p>
    <w:p>
      <w:pPr>
        <w:pStyle w:val="ListParagraph"/>
        <w:ind w:hanging="0" w:left="283"/>
        <w:jc w:val="both"/>
        <w:rPr>
          <w:lang w:val="bg-BG" w:eastAsia="en-US" w:bidi="ar-SA"/>
        </w:rPr>
      </w:pPr>
      <w:r>
        <w:rPr>
          <w:szCs w:val="24"/>
          <w:lang w:val="bg-BG" w:eastAsia="en-US" w:bidi="ar-SA"/>
        </w:rPr>
        <w:t>„</w:t>
      </w:r>
      <w:r>
        <w:rPr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 w:eastAsia="en-US" w:bidi="ar-SA"/>
        </w:rPr>
        <w:t>“</w:t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Изходни данни: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Приложение, поддържащо Windows и Debian Linux, език за програмиране - Python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обяснителната записка: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Анотация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Увод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Основни резултати. Изводи и препоръки.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Използвана литература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8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графичната част: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lang w:val="bg-BG" w:eastAsia="en-US" w:bidi="ar-SA"/>
        </w:rPr>
        <w:t xml:space="preserve">Дата на задаване: ХХ.ХХ.20XХ </w:t>
        <w:tab/>
        <w:tab/>
        <w:t>Срок за предаване: ХХ.ХХ.20XХ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lang w:val="bg-BG" w:eastAsia="en-US" w:bidi="ar-SA"/>
        </w:rPr>
      </w:pPr>
      <w:r>
        <w:rPr>
          <w:b/>
          <w:lang w:val="bg-BG" w:eastAsia="en-US" w:bidi="ar-SA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             </w:t>
      </w:r>
      <w:r>
        <w:rPr>
          <w:lang w:val="bg-BG" w:eastAsia="en-US" w:bidi="ar-SA"/>
        </w:rPr>
        <w:t xml:space="preserve">/ Георги Чапъров /                               / Marco Porta /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bCs/>
          <w:lang w:val="bg-BG" w:eastAsia="en-US" w:bidi="ar-SA"/>
        </w:rPr>
      </w:pPr>
      <w:r>
        <w:rPr>
          <w:b/>
          <w:bCs/>
          <w:lang w:val="bg-BG" w:eastAsia="en-US" w:bidi="ar-SA"/>
        </w:rPr>
        <w:t xml:space="preserve">                                                    </w:t>
      </w:r>
      <w:r>
        <w:rPr>
          <w:b/>
          <w:bCs/>
          <w:lang w:val="bg-BG" w:eastAsia="en-US" w:bidi="ar-SA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  <w:tab/>
        <w:tab/>
        <w:tab/>
        <w:tab/>
        <w:tab/>
        <w:tab/>
        <w:t xml:space="preserve">         /                       /               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Съдържание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9_4158184810" w:tooltip="Анoтaция">
            <w:r>
              <w:rPr>
                <w:rStyle w:val="IndexLink"/>
              </w:rPr>
              <w:t>1. Анoтaция</w:t>
              <w:tab/>
              <w:t>8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57_4158184810" w:tooltip="Увод">
            <w:r>
              <w:rPr>
                <w:rStyle w:val="IndexLink"/>
              </w:rPr>
              <w:t>2. Увод</w:t>
              <w:tab/>
              <w:t>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59_4158184810" w:tooltip="Обзор на съществуващи решения">
            <w:r>
              <w:rPr>
                <w:rStyle w:val="IndexLink"/>
              </w:rPr>
              <w:t>3. Обзор на съществуващи решения</w:t>
              <w:tab/>
              <w:t>10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1_4158184810" w:tooltip="Поставени цели и задачи">
            <w:r>
              <w:rPr>
                <w:rStyle w:val="IndexLink"/>
              </w:rPr>
              <w:t>4. Поставени цели и задачи</w:t>
              <w:tab/>
              <w:t>11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5_4158184810" w:tooltip="Описание на експеримент и хардуер за събиране на данните">
            <w:r>
              <w:rPr>
                <w:rStyle w:val="IndexLink"/>
              </w:rPr>
              <w:t>5. Описание на експеримент и хардуер за събиране на данните</w:t>
              <w:tab/>
              <w:t>12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9_4158184810" w:tooltip="Софтуер за класифициране на данните">
            <w:r>
              <w:rPr>
                <w:rStyle w:val="IndexLink"/>
              </w:rPr>
              <w:t>6. Софтуер за класифициране на данните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5_4158184810" w:tooltip="Изисквания, архитектура и организация на данните">
            <w:r>
              <w:rPr>
                <w:rStyle w:val="IndexLink"/>
              </w:rPr>
              <w:t>6.1. Изисквания, архитектура и организация на данните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7_4158184810" w:tooltip="Избор на език и среда за програмиране">
            <w:r>
              <w:rPr>
                <w:rStyle w:val="IndexLink"/>
              </w:rPr>
              <w:t>6.2. Избор на език и среда за програмиране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9_4158184810" w:tooltip="Реализация на програмната система">
            <w:r>
              <w:rPr>
                <w:rStyle w:val="IndexLink"/>
              </w:rPr>
              <w:t>6.3. Реализация на програмната система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1_4158184810" w:tooltip="Описание на програмните модули">
            <w:r>
              <w:rPr>
                <w:rStyle w:val="IndexLink"/>
              </w:rPr>
              <w:t>6.3.1. Описание на програмните модули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3_4158184810" w:tooltip="Структура и организация на програмния интерфейс">
            <w:r>
              <w:rPr>
                <w:rStyle w:val="IndexLink"/>
              </w:rPr>
              <w:t>6.3.2. Структура и организация на програмния интерфейс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5_4158184810" w:tooltip="Формат на входните и изходните данни">
            <w:r>
              <w:rPr>
                <w:rStyle w:val="IndexLink"/>
              </w:rPr>
              <w:t>6.4. Формат на входните и изходните данни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16_4158184810" w:tooltip="Архитектура на системата и отдалечен достъп">
            <w:r>
              <w:rPr>
                <w:rStyle w:val="IndexLink"/>
              </w:rPr>
              <w:t>7. Архитектура на системата и отдалечен достъп</w:t>
              <w:tab/>
              <w:t>14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865_1987151165" w:tooltip="Създаване на Docker образ">
            <w:r>
              <w:rPr>
                <w:rStyle w:val="IndexLink"/>
              </w:rPr>
              <w:t>7.1. Създаване на Docker образ</w:t>
              <w:tab/>
              <w:t>14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88_4158184810" w:tooltip="Създаване и обучение на модела">
            <w:r>
              <w:rPr>
                <w:rStyle w:val="IndexLink"/>
              </w:rPr>
              <w:t>8. Създаване и обучение на модела</w:t>
              <w:tab/>
              <w:t>19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7_4158184810" w:tooltip="Предварителна обработка на данните">
            <w:r>
              <w:rPr>
                <w:rStyle w:val="IndexLink"/>
              </w:rPr>
              <w:t>8.1. Предварителна обработка на данните</w:t>
              <w:tab/>
              <w:t>19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0_4158184810" w:tooltip="Избор на модел за машинно обучение">
            <w:r>
              <w:rPr>
                <w:rStyle w:val="IndexLink"/>
              </w:rPr>
              <w:t>8.2. Избор на модел за машинно обучение</w:t>
              <w:tab/>
              <w:t>19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2_4158184810" w:tooltip="Методология на обучението">
            <w:r>
              <w:rPr>
                <w:rStyle w:val="IndexLink"/>
              </w:rPr>
              <w:t>8.3. Методология на обучението</w:t>
              <w:tab/>
              <w:t>19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18_4158184810" w:tooltip="Сравнение между CNN и Transformer модел">
            <w:r>
              <w:rPr>
                <w:rStyle w:val="IndexLink"/>
              </w:rPr>
              <w:t>9. Сравнение между CNN и Transformer модел</w:t>
              <w:tab/>
              <w:t>20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20_4158184810" w:tooltip="Резултати при различна продължителност на записите">
            <w:r>
              <w:rPr>
                <w:rStyle w:val="IndexLink"/>
              </w:rPr>
              <w:t>10. Резултати при различна продължителност на записите</w:t>
              <w:tab/>
              <w:t>21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4_4158184810" w:tooltip="Основни резултати">
            <w:r>
              <w:rPr>
                <w:rStyle w:val="IndexLink"/>
              </w:rPr>
              <w:t>11. Основни резултати</w:t>
              <w:tab/>
              <w:t>22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6_4158184810" w:tooltip="Изводи и препоръки">
            <w:r>
              <w:rPr>
                <w:rStyle w:val="IndexLink"/>
              </w:rPr>
              <w:t>12. Изводи и препоръки</w:t>
              <w:tab/>
              <w:t>23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9_4158184810" w:tooltip="Използвана литература">
            <w:r>
              <w:rPr>
                <w:rStyle w:val="IndexLink"/>
              </w:rPr>
              <w:t>13. Използвана литература</w:t>
              <w:tab/>
              <w:t>24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71_4158184810" w:tooltip="Приложения">
            <w:r>
              <w:rPr>
                <w:rStyle w:val="IndexLink"/>
              </w:rPr>
              <w:t>14. Приложения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фигури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таблици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Използвани съкращения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en-US" w:eastAsia="en-US" w:bidi="ar-SA"/>
        </w:rPr>
        <w:t>7.</w:t>
      </w:r>
      <w:r>
        <w:rPr>
          <w:lang w:val="bg-BG" w:eastAsia="en-US" w:bidi="ar-SA"/>
        </w:rPr>
        <w:t xml:space="preserve"> PyPI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0" w:name="__RefHeading___Toc279_4158184810"/>
      <w:bookmarkStart w:id="1" w:name="_Toc169282651"/>
      <w:bookmarkEnd w:id="0"/>
      <w:r>
        <w:rPr>
          <w:b/>
          <w:bCs/>
          <w:sz w:val="32"/>
          <w:szCs w:val="28"/>
          <w:lang w:val="bg-BG" w:eastAsia="en-US" w:bidi="ar-SA"/>
        </w:rPr>
        <w:t>Анoтaция</w:t>
      </w:r>
      <w:bookmarkEnd w:id="1"/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Обект на дипломната работа е моделирането и обучението на модел, който да класифицира отделните действия на човек, работещ на поточна линия, използвайки данните от очила, които следят движението на очите и главата.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симулиране на поточна линия е използван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комплект. Участниците в експеримента използват очила за проследяване на движението на очите и главата. По време на експеримента, участниците следят стъпките в упътването на 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комплекта, а техните действия биват записани. Освен различни видове движения, очилата записват работното поле, на което участника сглобява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>комплекта. Общия брой на участниците е двадесет и осем, но поради технически проблеми два от записите са неизползваеми.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Разработен е софтуер за класифициране на получените данни. При пускане на софтуера, потребителя може да избере папка с данните на даден участник в експеримента. Софтуера може да възпроизвежда записа на работното поле, като наслага точката, в която участника е гледал в дадения момент, върху възпроизведения запис.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разработката на софтуера за класифициране е използван текстовият редактор VS Code с множество модули и езикът за програмиране Python. За графичния потребителски интерфейс е използвана библиотеката PyQt6. Използвана е библиотеката </w:t>
      </w:r>
      <w:r>
        <w:rPr>
          <w:lang w:val="en-US" w:eastAsia="en-US" w:bidi="ar-SA"/>
        </w:rPr>
        <w:t xml:space="preserve">Numpy </w:t>
      </w:r>
      <w:r>
        <w:rPr>
          <w:lang w:val="bg-BG" w:eastAsia="en-US" w:bidi="ar-SA"/>
        </w:rPr>
        <w:t xml:space="preserve">за интерполация между две точки на погледа на участника в експеримента, както и библиотеката </w:t>
      </w:r>
      <w:r>
        <w:rPr>
          <w:lang w:val="en-US" w:eastAsia="en-US" w:bidi="ar-SA"/>
        </w:rPr>
        <w:t xml:space="preserve">pandas </w:t>
      </w:r>
      <w:r>
        <w:rPr>
          <w:lang w:val="bg-BG" w:eastAsia="en-US" w:bidi="ar-SA"/>
        </w:rPr>
        <w:t>за зареждане и запазване на класифицираните данни във фай</w:t>
      </w:r>
      <w:r>
        <w:rPr>
          <w:lang w:val="en-US" w:eastAsia="en-US" w:bidi="ar-SA"/>
        </w:rPr>
        <w:t>л</w:t>
      </w:r>
      <w:r>
        <w:rPr>
          <w:lang w:val="bg-BG" w:eastAsia="en-US" w:bidi="ar-SA"/>
        </w:rPr>
        <w:t xml:space="preserve"> с разширение </w:t>
      </w:r>
      <w:r>
        <w:rPr>
          <w:lang w:val="en-US" w:eastAsia="en-US" w:bidi="ar-SA"/>
        </w:rPr>
        <w:t>csv.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За обработката на данните, създаването и обучението на модела е  използван езикът за програмиране Python, както и локално разположена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>) инстанция на JupyterLab, изпълнявана в Docker контейнер, базиран на образа „nvidia/cuda:12.1.1-runtime-ubuntu22.04„. Инстанцията е разположена на домашен компютър и е достъпна посредством локалната мрежа. Локалната мрежа бе достъпвана от разстояние посредством локално разположенa виртуална частна мрежа</w:t>
      </w:r>
      <w:r>
        <w:rPr>
          <w:lang w:val="en-US" w:eastAsia="en-US" w:bidi="ar-SA"/>
        </w:rPr>
        <w:t xml:space="preserve">. </w:t>
      </w:r>
      <w:r>
        <w:rPr>
          <w:lang w:val="bg-BG" w:eastAsia="en-US" w:bidi="ar-SA"/>
        </w:rPr>
        <w:t xml:space="preserve">Като резервна опция при евентуален проблем с  виртуалната частна мрежа, беше осъществена връзка чрез </w:t>
      </w:r>
      <w:r>
        <w:rPr>
          <w:lang w:val="en-US" w:eastAsia="en-US" w:bidi="ar-SA"/>
        </w:rPr>
        <w:t xml:space="preserve">AnyDesk, </w:t>
      </w:r>
      <w:r>
        <w:rPr>
          <w:lang w:val="bg-BG" w:eastAsia="en-US" w:bidi="ar-SA"/>
        </w:rPr>
        <w:t>както и локално разположенa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 xml:space="preserve">) инстанция на </w:t>
      </w:r>
      <w:r>
        <w:rPr>
          <w:lang w:val="en-US" w:eastAsia="en-US" w:bidi="ar-SA"/>
        </w:rPr>
        <w:t xml:space="preserve">Sunshine </w:t>
      </w:r>
      <w:r>
        <w:rPr>
          <w:lang w:val="bg-BG" w:eastAsia="en-US" w:bidi="ar-SA"/>
        </w:rPr>
        <w:t xml:space="preserve">и </w:t>
      </w:r>
      <w:r>
        <w:rPr>
          <w:lang w:val="en-US" w:eastAsia="en-US" w:bidi="ar-SA"/>
        </w:rPr>
        <w:t>Moonlight.</w:t>
      </w:r>
    </w:p>
    <w:p>
      <w:pPr>
        <w:pStyle w:val="Normal"/>
        <w:overflowPunct w:val="true"/>
        <w:spacing w:lineRule="auto" w:line="360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  <w:tab/>
        <w:t>Използван модел, кой модели съм сравнявал, как съм оптимизирал параметрите на моделите, резултати .......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" w:name="__RefHeading___Toc957_4158184810"/>
      <w:bookmarkStart w:id="3" w:name="_Toc169282652"/>
      <w:bookmarkEnd w:id="2"/>
      <w:r>
        <w:rPr>
          <w:b/>
          <w:bCs/>
          <w:sz w:val="32"/>
          <w:szCs w:val="28"/>
          <w:lang w:val="bg-BG" w:eastAsia="en-US" w:bidi="ar-SA"/>
        </w:rPr>
        <w:t>Увод</w:t>
      </w:r>
      <w:bookmarkEnd w:id="3"/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4" w:name="__RefHeading___Toc959_4158184810"/>
      <w:bookmarkEnd w:id="4"/>
      <w:r>
        <w:rPr>
          <w:b/>
          <w:bCs/>
          <w:sz w:val="32"/>
          <w:szCs w:val="32"/>
          <w:lang w:val="bg-BG" w:eastAsia="en-US" w:bidi="ar-SA"/>
        </w:rPr>
        <w:t xml:space="preserve">Обзор на съществуващи решения 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5" w:name="__RefHeading___Toc961_4158184810"/>
      <w:bookmarkEnd w:id="5"/>
      <w:r>
        <w:rPr>
          <w:b/>
          <w:bCs/>
          <w:sz w:val="32"/>
          <w:szCs w:val="32"/>
          <w:lang w:val="bg-BG" w:eastAsia="en-US" w:bidi="ar-SA"/>
        </w:rPr>
        <w:t>Поставени цели и задачи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6" w:name="__RefHeading___Toc965_4158184810"/>
      <w:bookmarkEnd w:id="6"/>
      <w:r>
        <w:rPr>
          <w:b/>
          <w:bCs/>
          <w:sz w:val="32"/>
          <w:szCs w:val="32"/>
          <w:lang w:val="bg-BG" w:eastAsia="en-US" w:bidi="ar-SA"/>
        </w:rPr>
        <w:t xml:space="preserve">Описание на експеримент </w:t>
      </w:r>
      <w:r>
        <w:rPr>
          <w:b/>
          <w:bCs/>
          <w:sz w:val="32"/>
          <w:szCs w:val="32"/>
          <w:lang w:val="bg-BG" w:eastAsia="en-US" w:bidi="ar-SA"/>
        </w:rPr>
        <w:t>и хардуер</w:t>
      </w:r>
      <w:r>
        <w:rPr>
          <w:b/>
          <w:bCs/>
          <w:sz w:val="32"/>
          <w:szCs w:val="32"/>
          <w:lang w:val="bg-BG" w:eastAsia="en-US" w:bidi="ar-SA"/>
        </w:rPr>
        <w:t xml:space="preserve"> за събиране на данните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Поради невъзможност за събиране на данните в реална обстановка на поточна линия, е взето решението да се използва </w:t>
      </w:r>
      <w:r>
        <w:rPr>
          <w:lang w:val="en-US"/>
        </w:rPr>
        <w:t xml:space="preserve">LEGO </w:t>
      </w:r>
      <w:r>
        <w:rPr>
          <w:lang w:val="bg-BG"/>
        </w:rPr>
        <w:t xml:space="preserve">комплект, който да бъде сглобен от участниците в експеримента. Използваният комплект е от серията 3 в 1 на </w:t>
      </w:r>
      <w:r>
        <w:rPr>
          <w:lang w:val="en-US"/>
        </w:rPr>
        <w:t xml:space="preserve">LEGO, </w:t>
      </w:r>
      <w:r>
        <w:rPr>
          <w:lang w:val="bg-BG"/>
        </w:rPr>
        <w:t xml:space="preserve">а името му е „Космическа совалка“. </w:t>
      </w:r>
      <w:r>
        <w:rPr>
          <w:lang w:val="en-US"/>
        </w:rPr>
        <w:t>[1]</w:t>
      </w:r>
      <w:r>
        <w:rPr>
          <w:lang w:val="bg-BG"/>
        </w:rPr>
        <w:t xml:space="preserve"> Комплект</w:t>
      </w:r>
      <w:r>
        <w:rPr>
          <w:lang w:val="bg-BG"/>
        </w:rPr>
        <w:t>ът</w:t>
      </w:r>
      <w:r>
        <w:rPr>
          <w:lang w:val="bg-BG"/>
        </w:rPr>
        <w:t xml:space="preserve"> предоставя възможност за </w:t>
      </w:r>
      <w:r>
        <w:rPr>
          <w:lang w:val="bg-BG"/>
        </w:rPr>
        <w:t>три</w:t>
      </w:r>
      <w:r>
        <w:rPr>
          <w:lang w:val="bg-BG"/>
        </w:rPr>
        <w:t xml:space="preserve"> различни постройки, като използваната тук е космически кораб с общ брой на частите – </w:t>
      </w:r>
      <w:r>
        <w:rPr>
          <w:lang w:val="bg-BG"/>
        </w:rPr>
        <w:t>седемдесет и две</w:t>
      </w:r>
      <w:r>
        <w:rPr>
          <w:lang w:val="bg-BG"/>
        </w:rPr>
        <w:t>. Общия</w:t>
      </w:r>
      <w:r>
        <w:rPr>
          <w:lang w:val="bg-BG"/>
        </w:rPr>
        <w:t>т</w:t>
      </w:r>
      <w:r>
        <w:rPr>
          <w:lang w:val="bg-BG"/>
        </w:rPr>
        <w:t xml:space="preserve"> брой инструкции в упътването е </w:t>
      </w:r>
      <w:r>
        <w:rPr>
          <w:lang w:val="bg-BG"/>
        </w:rPr>
        <w:t>двадесет и три</w:t>
      </w:r>
      <w:r>
        <w:rPr>
          <w:lang w:val="bg-BG"/>
        </w:rPr>
        <w:t xml:space="preserve">.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Всеки участник започва експеримента с всичките нужни части, събрани пред него, а упътването е пред тях. Експеримент</w:t>
      </w:r>
      <w:r>
        <w:rPr>
          <w:lang w:val="bg-BG"/>
        </w:rPr>
        <w:t>ът</w:t>
      </w:r>
      <w:r>
        <w:rPr>
          <w:lang w:val="bg-BG"/>
        </w:rPr>
        <w:t xml:space="preserve"> приключва в момента, в който участникът приключи със строенето на постройката, или щом участникът няма повече желание да продължи експеримента. В случай, че участника се е отказал от завършването на експеримента и записа е по-малък от </w:t>
      </w:r>
      <w:r>
        <w:rPr>
          <w:lang w:val="bg-BG"/>
        </w:rPr>
        <w:t>десет</w:t>
      </w:r>
      <w:r>
        <w:rPr>
          <w:lang w:val="bg-BG"/>
        </w:rPr>
        <w:t xml:space="preserve"> минути, то записът бива отхвърлен.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Общият брой на участниците е </w:t>
      </w:r>
      <w:r>
        <w:rPr>
          <w:lang w:val="bg-BG"/>
        </w:rPr>
        <w:t>двадесет и осем</w:t>
      </w:r>
      <w:r>
        <w:rPr>
          <w:lang w:val="bg-BG"/>
        </w:rPr>
        <w:t xml:space="preserve">. Няколко от участниците проявиха желание да приключат експеримента преждевременно, но във всеки един от тези случаи, записите бяха по-дълги от </w:t>
      </w:r>
      <w:r>
        <w:rPr>
          <w:lang w:val="bg-BG"/>
        </w:rPr>
        <w:t>десет</w:t>
      </w:r>
      <w:r>
        <w:rPr>
          <w:lang w:val="bg-BG"/>
        </w:rPr>
        <w:t xml:space="preserve"> минути. Поради технически проблеми с очилата, два от записите са загубен</w:t>
      </w:r>
      <w:r>
        <w:rPr>
          <w:lang w:val="bg-BG"/>
        </w:rPr>
        <w:t>и</w:t>
      </w:r>
      <w:r>
        <w:rPr>
          <w:lang w:val="bg-BG"/>
        </w:rPr>
        <w:t>, като единствената информация от тези участници е суровите данни за техния поглед. Загубата на записа възпрепятства класифицирането на тези данни.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Общия брой на използваните записи за обучение на модела е двадесет и шест.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За записване на действията на </w:t>
      </w:r>
      <w:r>
        <w:rPr>
          <w:lang w:val="bg-BG"/>
        </w:rPr>
        <w:t>участниците, с</w:t>
      </w:r>
      <w:r>
        <w:rPr>
          <w:lang w:val="bg-BG"/>
        </w:rPr>
        <w:t>а</w:t>
      </w:r>
      <w:r>
        <w:rPr>
          <w:lang w:val="bg-BG"/>
        </w:rPr>
        <w:t xml:space="preserve"> използвани очилата </w:t>
      </w:r>
      <w:r>
        <w:rPr>
          <w:lang w:val="en-US"/>
        </w:rPr>
        <w:t xml:space="preserve">NEON </w:t>
      </w:r>
      <w:r>
        <w:rPr>
          <w:lang w:val="bg-BG"/>
        </w:rPr>
        <w:t xml:space="preserve">от  </w:t>
      </w:r>
      <w:r>
        <w:rPr>
          <w:lang w:val="en-US"/>
        </w:rPr>
        <w:t xml:space="preserve">Pupil Labs. [2] </w:t>
      </w:r>
      <w:r>
        <w:rPr>
          <w:lang w:val="bg-BG"/>
        </w:rPr>
        <w:t xml:space="preserve">Създателите на очилата казват, че те нямат нужда от предварително калибриране. Поради това, такова не е предвидено преди започването на всеки експеримент. 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 xml:space="preserve">NEON </w:t>
      </w:r>
      <w:r>
        <w:rPr>
          <w:b/>
          <w:bCs/>
          <w:sz w:val="32"/>
          <w:szCs w:val="32"/>
          <w:lang w:val="bg-BG" w:eastAsia="en-US" w:bidi="ar-SA"/>
        </w:rPr>
        <w:t>от</w:t>
      </w:r>
      <w:r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Pupil Labs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en-US"/>
        </w:rPr>
        <w:t xml:space="preserve">NEON </w:t>
      </w:r>
      <w:r>
        <w:rPr>
          <w:lang w:val="bg-BG"/>
        </w:rPr>
        <w:t xml:space="preserve">представлява рамка на очила с вграден модул между двете </w:t>
      </w:r>
      <w:r>
        <w:rPr>
          <w:lang w:val="bg-BG"/>
        </w:rPr>
        <w:t>лещи</w:t>
      </w:r>
      <w:r>
        <w:rPr>
          <w:lang w:val="bg-BG"/>
        </w:rPr>
        <w:t xml:space="preserve">. </w:t>
      </w:r>
      <w:r>
        <w:rPr>
          <w:lang w:val="bg-BG"/>
        </w:rPr>
        <w:t xml:space="preserve">Разполага с камера, която гледа напред и записва това, което вижда човека, който ги носи. 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7" w:name="__RefHeading___Toc969_4158184810"/>
      <w:bookmarkEnd w:id="7"/>
      <w:r>
        <w:rPr>
          <w:b/>
          <w:bCs/>
          <w:sz w:val="32"/>
          <w:szCs w:val="32"/>
          <w:lang w:val="bg-BG" w:eastAsia="en-US" w:bidi="ar-SA"/>
        </w:rPr>
        <w:t>Софтуер за класифициране на данните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8" w:name="__RefHeading___Toc2735_4158184810"/>
      <w:bookmarkEnd w:id="8"/>
      <w:r>
        <w:rPr>
          <w:b/>
          <w:bCs/>
          <w:sz w:val="32"/>
          <w:szCs w:val="32"/>
          <w:lang w:val="bg-BG" w:eastAsia="en-US" w:bidi="ar-SA"/>
        </w:rPr>
        <w:t>Изисквания, архитектура и организация на данните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9" w:name="__RefHeading___Toc2737_4158184810"/>
      <w:bookmarkEnd w:id="9"/>
      <w:r>
        <w:rPr>
          <w:b/>
          <w:bCs/>
          <w:sz w:val="32"/>
          <w:szCs w:val="32"/>
          <w:lang w:val="bg-BG" w:eastAsia="en-US" w:bidi="ar-SA"/>
        </w:rPr>
        <w:t>Избор на език и среда за програмиране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0" w:name="__RefHeading___Toc2739_4158184810"/>
      <w:bookmarkEnd w:id="10"/>
      <w:r>
        <w:rPr>
          <w:b/>
          <w:bCs/>
          <w:sz w:val="32"/>
          <w:szCs w:val="32"/>
          <w:lang w:val="bg-BG" w:eastAsia="en-US" w:bidi="ar-SA"/>
        </w:rPr>
        <w:t>Реализация на програмната система</w:t>
      </w:r>
    </w:p>
    <w:p>
      <w:pPr>
        <w:pStyle w:val="ListParagraph"/>
        <w:widowControl/>
        <w:numPr>
          <w:ilvl w:val="2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47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1" w:name="__RefHeading___Toc2741_4158184810"/>
      <w:bookmarkEnd w:id="11"/>
      <w:r>
        <w:rPr>
          <w:b/>
          <w:bCs/>
          <w:sz w:val="32"/>
          <w:szCs w:val="32"/>
          <w:lang w:val="bg-BG" w:eastAsia="en-US" w:bidi="ar-SA"/>
        </w:rPr>
        <w:t>Описание на програмните модули</w:t>
      </w:r>
    </w:p>
    <w:p>
      <w:pPr>
        <w:pStyle w:val="ListParagraph"/>
        <w:widowControl/>
        <w:numPr>
          <w:ilvl w:val="2"/>
          <w:numId w:val="4"/>
        </w:numPr>
        <w:suppressAutoHyphens w:val="true"/>
        <w:overflowPunct w:val="true"/>
        <w:bidi w:val="0"/>
        <w:spacing w:lineRule="auto" w:line="276" w:before="0" w:after="0"/>
        <w:ind w:hanging="0" w:left="113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2" w:name="__RefHeading___Toc2743_4158184810"/>
      <w:bookmarkEnd w:id="12"/>
      <w:r>
        <w:rPr>
          <w:b/>
          <w:bCs/>
          <w:sz w:val="32"/>
          <w:szCs w:val="32"/>
          <w:lang w:val="bg-BG" w:eastAsia="en-US" w:bidi="ar-SA"/>
        </w:rPr>
        <w:t>Структура и организация на програмния интерфейс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0" w:left="73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3" w:name="__RefHeading___Toc2745_4158184810"/>
      <w:bookmarkEnd w:id="13"/>
      <w:r>
        <w:rPr>
          <w:b/>
          <w:bCs/>
          <w:sz w:val="32"/>
          <w:szCs w:val="32"/>
          <w:lang w:val="bg-BG" w:eastAsia="en-US" w:bidi="ar-SA"/>
        </w:rPr>
        <w:t>Формат на входните и изходните данни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4" w:name="__RefHeading___Toc10516_4158184810"/>
      <w:bookmarkEnd w:id="14"/>
      <w:r>
        <w:rPr>
          <w:b/>
          <w:bCs/>
          <w:sz w:val="32"/>
          <w:szCs w:val="32"/>
          <w:lang w:val="bg-BG" w:eastAsia="en-US" w:bidi="ar-SA"/>
        </w:rPr>
        <w:t>Архитектура на системата и отдалечен достъп</w:t>
      </w:r>
    </w:p>
    <w:p>
      <w:pPr>
        <w:pStyle w:val="Normal"/>
        <w:spacing w:lineRule="auto" w:line="360"/>
        <w:rPr/>
      </w:pPr>
      <w:r>
        <w:rPr/>
        <w:tab/>
      </w:r>
      <w:r>
        <w:rPr>
          <w:lang w:val="bg-BG"/>
        </w:rPr>
        <w:t xml:space="preserve">За среда за разработка е избран JupyterLab, тъй като представлява едно от най-разпространените решения за разработка и експериментиране с модели за машинно обучение. Платформата поддържа така наречените notebooks, които позволяват комбинирането на програмен код, визуализации и документация в единен документ. </w:t>
      </w:r>
    </w:p>
    <w:p>
      <w:pPr>
        <w:pStyle w:val="Normal"/>
        <w:spacing w:lineRule="auto" w:line="360"/>
        <w:rPr/>
      </w:pPr>
      <w:r>
        <w:rPr>
          <w:lang w:val="bg-BG"/>
        </w:rPr>
        <w:t>Избор</w:t>
      </w:r>
      <w:r>
        <w:rPr>
          <w:lang w:val="bg-BG"/>
        </w:rPr>
        <w:t>ът</w:t>
      </w:r>
      <w:r>
        <w:rPr>
          <w:lang w:val="bg-BG"/>
        </w:rPr>
        <w:t xml:space="preserve"> да се инсталира локална инстанция на </w:t>
      </w:r>
      <w:r>
        <w:rPr>
          <w:lang w:val="en-US"/>
        </w:rPr>
        <w:t xml:space="preserve">JupyterLab </w:t>
      </w:r>
      <w:r>
        <w:rPr>
          <w:lang w:val="bg-BG"/>
        </w:rPr>
        <w:t xml:space="preserve">е взет с цел да се избегне зависимостта от чужда платформа, както и да позволи на целия експеримент да бъде възможно най-възпроизведим. 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За да бъде постигната тази цел, бе използвана </w:t>
      </w:r>
      <w:r>
        <w:rPr>
          <w:lang w:val="en-US"/>
        </w:rPr>
        <w:t>Docker</w:t>
      </w:r>
      <w:r>
        <w:rPr>
          <w:lang w:val="en-US"/>
        </w:rPr>
        <w:t>.</w:t>
      </w:r>
      <w:r>
        <w:rPr>
          <w:lang w:val="bg-BG"/>
        </w:rPr>
        <w:t xml:space="preserve"> Docker представлява платформа за контейнеризация, която позволява разработването и изпълнението на приложения в изолирани среди, наречени контейнери. </w:t>
      </w:r>
      <w:r>
        <w:rPr>
          <w:lang w:val="en-US"/>
        </w:rPr>
        <w:t>[1]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Контейнеризацията в този случай се постига чрез </w:t>
      </w:r>
      <w:r>
        <w:rPr>
          <w:lang w:val="en-US"/>
        </w:rPr>
        <w:t xml:space="preserve">Docker </w:t>
      </w:r>
      <w:r>
        <w:rPr>
          <w:lang w:val="bg-BG"/>
        </w:rPr>
        <w:t xml:space="preserve">контейнер. Docker контейнерът представлява стандартизирана единица за разпространение и изпълнение на софтуер, която съдържа приложението и всички необходими зависимости за неговата работа. Това позволява приложението да функционира по еднакъв начин в различни среди за изпълнение. </w:t>
      </w:r>
      <w:r>
        <w:rPr>
          <w:lang w:val="en-US"/>
        </w:rPr>
        <w:t>[1]</w:t>
      </w:r>
      <w:r>
        <w:rPr>
          <w:lang w:val="en-US" w:eastAsia="en-US" w:bidi="ar-SA"/>
        </w:rPr>
        <w:t xml:space="preserve"> 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32"/>
          <w:lang w:val="bg-BG"/>
        </w:rPr>
      </w:pPr>
      <w:bookmarkStart w:id="15" w:name="__RefHeading___Toc2865_1987151165"/>
      <w:bookmarkEnd w:id="15"/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Docker </w:t>
      </w:r>
      <w:r>
        <w:rPr>
          <w:b/>
          <w:bCs/>
          <w:sz w:val="32"/>
          <w:szCs w:val="32"/>
          <w:lang w:val="bg-BG"/>
        </w:rPr>
        <w:t>образ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За създаването на контейнера е създаден Docker образ (Docker image). Docker образът представлява неизменяем шаблон, съдържащ необходимите инструкции и файлове за създаване на Docker контейнер. [1]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Създадения </w:t>
      </w:r>
      <w:r>
        <w:rPr>
          <w:lang w:val="en-US" w:eastAsia="en-US" w:bidi="ar-SA"/>
        </w:rPr>
        <w:t xml:space="preserve">Docker </w:t>
      </w:r>
      <w:r>
        <w:rPr>
          <w:lang w:val="bg-BG" w:eastAsia="en-US" w:bidi="ar-SA"/>
        </w:rPr>
        <w:t>образ съдържа следните директиви: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FROM nvidia/cuda:12.1.1-runtime-ubuntu22.04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WORKDIR /workspace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RUN apt-get update &amp;&amp; apt-get install -y python3-pip git &amp;&amp; rm -rf /var/lib/apt/lists/*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RUN pip install --no-cache-dir fastai jupyter matplotlib pandas scikit-learn polars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EXPOSE 8888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CMD ["jupyter", "lab", "--ip=0.0.0.0", "--port=8888", "--no-browser", "--allow-root"]</w:t>
      </w:r>
    </w:p>
    <w:p>
      <w:pPr>
        <w:pStyle w:val="Normal"/>
        <w:spacing w:lineRule="auto" w:line="360"/>
        <w:ind w:hanging="0" w:left="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FROM </w:t>
      </w:r>
      <w:r>
        <w:rPr>
          <w:lang w:val="bg-BG" w:eastAsia="en-US" w:bidi="ar-SA"/>
        </w:rPr>
        <w:t xml:space="preserve">показва на кой друг образ е базиран този образ. </w:t>
      </w:r>
      <w:r>
        <w:rPr>
          <w:lang w:val="en-US" w:eastAsia="en-US" w:bidi="ar-SA"/>
        </w:rPr>
        <w:t xml:space="preserve">[2] </w:t>
      </w:r>
      <w:r>
        <w:rPr>
          <w:lang w:val="bg-BG" w:eastAsia="en-US" w:bidi="ar-SA"/>
        </w:rPr>
        <w:t>В този случай е базиран на образа „nvidia/cuda:12.1.1-runtime-ubuntu22.04“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WORKDIR задава работната директория, като ако тя не съществува, ще бъде създадена. Работната директория показва къде ще бъдат изпълнени последващите директиви, които имат общо по някакъв начин с файловата система.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2</w:t>
      </w:r>
      <w:r>
        <w:rPr>
          <w:lang w:val="en-US" w:eastAsia="en-US" w:bidi="ar-SA"/>
        </w:rPr>
        <w:t xml:space="preserve">] </w:t>
      </w:r>
      <w:r>
        <w:rPr>
          <w:lang w:val="bg-BG" w:eastAsia="en-US" w:bidi="ar-SA"/>
        </w:rPr>
        <w:t>В конкретния случай, работната директория е „/</w:t>
      </w:r>
      <w:r>
        <w:rPr>
          <w:lang w:val="en-US" w:eastAsia="en-US" w:bidi="ar-SA"/>
        </w:rPr>
        <w:t>workspace</w:t>
      </w:r>
      <w:r>
        <w:rPr>
          <w:lang w:val="bg-BG" w:eastAsia="en-US" w:bidi="ar-SA"/>
        </w:rPr>
        <w:t>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RUN </w:t>
      </w:r>
      <w:r>
        <w:rPr>
          <w:lang w:val="bg-BG" w:eastAsia="en-US" w:bidi="ar-SA"/>
        </w:rPr>
        <w:t xml:space="preserve">задава команда, която да бъде изпълнена по време на създаването на образа </w:t>
      </w:r>
      <w:r>
        <w:rPr>
          <w:lang w:val="en-US" w:eastAsia="en-US" w:bidi="ar-SA"/>
        </w:rPr>
        <w:t>[2].</w:t>
      </w:r>
      <w:r>
        <w:rPr>
          <w:lang w:val="bg-BG" w:eastAsia="en-US" w:bidi="ar-SA"/>
        </w:rPr>
        <w:t xml:space="preserve"> Тук задаваме като команда apt-get update &amp;&amp; apt-get install -y python3-pip git &amp;&amp; rm -rf /var/lib/apt/lists/*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Тази команда всъщност е съвкупност от 3 команди а именно apt-get update, apt-get install -y python3-pip git и rm -rf /var/lib/apt/lists/*. Тези команди са разделени с </w:t>
      </w:r>
      <w:r>
        <w:rPr>
          <w:lang w:val="en-US" w:eastAsia="en-US" w:bidi="ar-SA"/>
        </w:rPr>
        <w:t xml:space="preserve">&amp;&amp;. </w:t>
      </w:r>
      <w:r>
        <w:rPr>
          <w:lang w:val="bg-BG" w:eastAsia="en-US" w:bidi="ar-SA"/>
        </w:rPr>
        <w:t xml:space="preserve">Тези два символа представлява логически оператор „И“ (AND), използван за последователно изпълнение на команди в Unix-подобни операционни системи. Следващата команда се изпълнява само ако предходната е завършила успешно с код за изход 0.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>Първите две команди започват с apt-get. Това е конзолно-базиран мениджър на пакети.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update обновява локалния индекс на пакетите чрез извличане на актуална информация от конфигурираните софтуерни хранилища (/etc/apt/sources.list). По този начин системата получава информация за наличните версии на пакетите преди тяхното инсталиране или обновяване. </w:t>
      </w:r>
      <w:r>
        <w:rPr>
          <w:lang w:val="en-US" w:eastAsia="en-US" w:bidi="ar-SA"/>
        </w:rPr>
        <w:t xml:space="preserve">[4]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install инсталира или обновява всички библиотеки изброени след нея. </w:t>
      </w:r>
      <w:r>
        <w:rPr>
          <w:lang w:val="en-US" w:eastAsia="en-US" w:bidi="ar-SA"/>
        </w:rPr>
        <w:t xml:space="preserve">[4] </w:t>
      </w:r>
      <w:r>
        <w:rPr>
          <w:lang w:val="bg-BG" w:eastAsia="en-US" w:bidi="ar-SA"/>
        </w:rPr>
        <w:t>В конкретния случай инсталираме библиотеките python3-pip и git. Флаг</w:t>
      </w:r>
      <w:r>
        <w:rPr>
          <w:lang w:val="bg-BG" w:eastAsia="en-US" w:bidi="ar-SA"/>
        </w:rPr>
        <w:t>ът</w:t>
      </w:r>
      <w:r>
        <w:rPr>
          <w:lang w:val="bg-BG" w:eastAsia="en-US" w:bidi="ar-SA"/>
        </w:rPr>
        <w:t xml:space="preserve"> -y е добавен за да се осигури автоматично потвърждение на всички заявки по време на инсталацията. Това е необходимо при изграждането на Docker образи, тъй като процесът се изпълнява автоматизирано и не позволява интерактивен потребителски вход.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rm премахва всички намерени файлове или директории, които съвпадат с последващия параметър. </w:t>
      </w:r>
      <w:r>
        <w:rPr>
          <w:lang w:val="en-US" w:eastAsia="en-US" w:bidi="ar-SA"/>
        </w:rPr>
        <w:t xml:space="preserve">[5] </w:t>
      </w:r>
      <w:r>
        <w:rPr>
          <w:lang w:val="bg-BG" w:eastAsia="en-US" w:bidi="ar-SA"/>
        </w:rPr>
        <w:t>В конкретния случай се премахва всичко в директорията /var/lib/apt/lists/ с цел намаляване големината на образа. Използват се два флага, като първият е -</w:t>
      </w:r>
      <w:r>
        <w:rPr>
          <w:lang w:val="en-US" w:eastAsia="en-US" w:bidi="ar-SA"/>
        </w:rPr>
        <w:t xml:space="preserve">r. </w:t>
      </w:r>
      <w:r>
        <w:rPr>
          <w:lang w:val="bg-BG" w:eastAsia="en-US" w:bidi="ar-SA"/>
        </w:rPr>
        <w:t xml:space="preserve">Този флаг позволява на командата рекурсивно да премахне всичко в дадена директория </w:t>
      </w:r>
      <w:r>
        <w:rPr>
          <w:lang w:val="en-US" w:eastAsia="en-US" w:bidi="ar-SA"/>
        </w:rPr>
        <w:t xml:space="preserve">[5]. </w:t>
      </w:r>
      <w:r>
        <w:rPr>
          <w:lang w:val="bg-BG" w:eastAsia="en-US" w:bidi="ar-SA"/>
        </w:rPr>
        <w:t>Флагът -</w:t>
      </w:r>
      <w:r>
        <w:rPr>
          <w:lang w:val="en-US" w:eastAsia="en-US" w:bidi="ar-SA"/>
        </w:rPr>
        <w:t xml:space="preserve">f </w:t>
      </w:r>
      <w:r>
        <w:rPr>
          <w:lang w:val="bg-BG" w:eastAsia="en-US" w:bidi="ar-SA"/>
        </w:rPr>
        <w:t xml:space="preserve">оказва на командата да не показва никакви съобщения и да не изкарва грешки в случай че дадената директория не съществува. </w:t>
      </w:r>
      <w:r>
        <w:rPr>
          <w:lang w:val="en-US" w:eastAsia="en-US" w:bidi="ar-SA"/>
        </w:rPr>
        <w:t>[5]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Следващата команда, която слагаме пред директивата</w:t>
      </w:r>
      <w:r>
        <w:rPr>
          <w:lang w:val="en-US" w:eastAsia="en-US" w:bidi="ar-SA"/>
        </w:rPr>
        <w:t xml:space="preserve"> RUN</w:t>
      </w:r>
      <w:r>
        <w:rPr>
          <w:lang w:val="bg-BG" w:eastAsia="en-US" w:bidi="ar-SA"/>
        </w:rPr>
        <w:t xml:space="preserve"> е pip install --no-cache-dir fastai jupyter matplotlib pandas scikit-learn polars</w:t>
      </w:r>
    </w:p>
    <w:p>
      <w:pPr>
        <w:pStyle w:val="Normal"/>
        <w:bidi w:val="0"/>
        <w:spacing w:lineRule="auto" w:line="360"/>
        <w:rPr/>
      </w:pP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>е най-разпространения</w:t>
      </w:r>
      <w:r>
        <w:rPr>
          <w:lang w:val="bg-BG" w:eastAsia="en-US" w:bidi="ar-SA"/>
        </w:rPr>
        <w:t>т</w:t>
      </w:r>
      <w:r>
        <w:rPr>
          <w:lang w:val="bg-BG" w:eastAsia="en-US" w:bidi="ar-SA"/>
        </w:rPr>
        <w:t xml:space="preserve"> и често използван мениджър на пакети за </w:t>
      </w:r>
      <w:r>
        <w:rPr>
          <w:lang w:val="en-US" w:eastAsia="en-US" w:bidi="ar-SA"/>
        </w:rPr>
        <w:t xml:space="preserve">Python. </w:t>
      </w:r>
      <w:r>
        <w:rPr>
          <w:lang w:val="bg-BG" w:eastAsia="en-US" w:bidi="ar-SA"/>
        </w:rPr>
        <w:t xml:space="preserve">Той позволява намирането, изтеглянето и инсталирането на пакети от индексът за пакети на </w:t>
      </w:r>
      <w:r>
        <w:rPr>
          <w:lang w:val="en-US" w:eastAsia="en-US" w:bidi="ar-SA"/>
        </w:rPr>
        <w:t>Python (</w:t>
      </w:r>
      <w:r>
        <w:rPr/>
        <w:t>PyPI</w:t>
      </w:r>
      <w:r>
        <w:rPr>
          <w:lang w:val="en-US" w:eastAsia="en-US" w:bidi="ar-SA"/>
        </w:rPr>
        <w:t>),</w:t>
      </w:r>
      <w:r>
        <w:rPr>
          <w:lang w:val="bg-BG" w:eastAsia="en-US" w:bidi="ar-SA"/>
        </w:rPr>
        <w:t xml:space="preserve"> </w:t>
      </w:r>
      <w:r>
        <w:rPr>
          <w:lang w:val="bg-BG" w:eastAsia="en-US" w:bidi="ar-SA"/>
        </w:rPr>
        <w:t>както и други такива.</w:t>
      </w:r>
      <w:r>
        <w:rPr>
          <w:lang w:val="bg-BG" w:eastAsia="en-US" w:bidi="ar-SA"/>
        </w:rPr>
        <w:t xml:space="preserve">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6</w:t>
      </w:r>
      <w:r>
        <w:rPr>
          <w:lang w:val="en-US" w:eastAsia="en-US" w:bidi="ar-SA"/>
        </w:rPr>
        <w:t>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</w:t>
      </w:r>
      <w:r>
        <w:rPr>
          <w:lang w:val="en-US" w:eastAsia="en-US" w:bidi="ar-SA"/>
        </w:rPr>
        <w:t xml:space="preserve">install </w:t>
      </w:r>
      <w:r>
        <w:rPr>
          <w:lang w:val="bg-BG" w:eastAsia="en-US" w:bidi="ar-SA"/>
        </w:rPr>
        <w:t xml:space="preserve">оказва на </w:t>
      </w: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че последващите библиотеки трябва да бъдат инсталирани. </w:t>
      </w:r>
      <w:r>
        <w:rPr>
          <w:lang w:val="en-US" w:eastAsia="en-US" w:bidi="ar-SA"/>
        </w:rPr>
        <w:t xml:space="preserve">[7] </w:t>
      </w:r>
      <w:r>
        <w:rPr>
          <w:lang w:val="bg-BG" w:eastAsia="en-US" w:bidi="ar-SA"/>
        </w:rPr>
        <w:t>Опцията –</w:t>
      </w:r>
      <w:r>
        <w:rPr>
          <w:lang w:val="bg-BG" w:eastAsia="en-US" w:bidi="ar-SA"/>
        </w:rPr>
        <w:t xml:space="preserve">no-cache-dir </w:t>
      </w:r>
      <w:r>
        <w:rPr>
          <w:lang w:val="bg-BG" w:eastAsia="en-US" w:bidi="ar-SA"/>
        </w:rPr>
        <w:t xml:space="preserve">оказва на </w:t>
      </w:r>
      <w:r>
        <w:rPr>
          <w:lang w:val="en-US" w:eastAsia="en-US" w:bidi="ar-SA"/>
        </w:rPr>
        <w:t xml:space="preserve">pip, </w:t>
      </w:r>
      <w:r>
        <w:rPr>
          <w:lang w:val="bg-BG" w:eastAsia="en-US" w:bidi="ar-SA"/>
        </w:rPr>
        <w:t xml:space="preserve">че при инсталирането на дадените библиотеки, не биват да бъдат съхранявани никакви </w:t>
      </w:r>
      <w:r>
        <w:rPr>
          <w:lang w:val="bg-BG" w:eastAsia="en-US" w:bidi="ar-SA"/>
        </w:rPr>
        <w:t xml:space="preserve">кеш. </w:t>
      </w:r>
      <w:r>
        <w:rPr>
          <w:lang w:val="en-US" w:eastAsia="en-US" w:bidi="ar-SA"/>
        </w:rPr>
        <w:t xml:space="preserve">[8] </w:t>
      </w:r>
      <w:r>
        <w:rPr>
          <w:lang w:val="bg-BG" w:eastAsia="en-US" w:bidi="ar-SA"/>
        </w:rPr>
        <w:t xml:space="preserve">Тук отново се цели възможно най-малък размер на образът.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EXPOSE 8888 указва, че приложението в контейнера слуша на порт 8888. Тя има информативен характер и не публикува автоматично порта към хост системата. </w:t>
      </w:r>
      <w:r>
        <w:rPr>
          <w:lang w:val="en-US" w:eastAsia="en-US" w:bidi="ar-SA"/>
        </w:rPr>
        <w:t>[2]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rStyle w:val="SourceText"/>
          <w:lang w:val="bg-BG" w:eastAsia="en-US" w:bidi="ar-SA"/>
        </w:rPr>
        <w:t>CMD</w:t>
      </w:r>
      <w:r>
        <w:rPr>
          <w:lang w:val="bg-BG" w:eastAsia="en-US" w:bidi="ar-SA"/>
        </w:rPr>
        <w:t xml:space="preserve"> дефинира командата по подразбиране, която се изпълнява при стартиране на контейнера. </w:t>
      </w:r>
      <w:r>
        <w:rPr>
          <w:lang w:val="bg-BG" w:eastAsia="en-US" w:bidi="ar-SA"/>
        </w:rPr>
        <w:t>[2]</w:t>
      </w:r>
      <w:r>
        <w:rPr>
          <w:lang w:val="bg-BG" w:eastAsia="en-US" w:bidi="ar-SA"/>
        </w:rPr>
        <w:t xml:space="preserve"> В конкретния случай се стартира JupyterLab сървър, който се свързва към всички мрежови интерфейси в контейнера (</w:t>
      </w:r>
      <w:r>
        <w:rPr>
          <w:rStyle w:val="SourceText"/>
          <w:lang w:val="bg-BG" w:eastAsia="en-US" w:bidi="ar-SA"/>
        </w:rPr>
        <w:t>0.0.0.0</w:t>
      </w:r>
      <w:r>
        <w:rPr>
          <w:lang w:val="bg-BG" w:eastAsia="en-US" w:bidi="ar-SA"/>
        </w:rPr>
        <w:t xml:space="preserve">) и използва порт 8888. Опцията </w:t>
      </w:r>
      <w:r>
        <w:rPr>
          <w:rStyle w:val="SourceText"/>
          <w:lang w:val="bg-BG" w:eastAsia="en-US" w:bidi="ar-SA"/>
        </w:rPr>
        <w:t>--no-browser</w:t>
      </w:r>
      <w:r>
        <w:rPr>
          <w:lang w:val="bg-BG" w:eastAsia="en-US" w:bidi="ar-SA"/>
        </w:rPr>
        <w:t xml:space="preserve"> предотвратява автоматичното отваряне на браузър </w:t>
      </w:r>
      <w:r>
        <w:rPr>
          <w:lang w:val="en-US" w:eastAsia="en-US" w:bidi="ar-SA"/>
        </w:rPr>
        <w:t>[9]</w:t>
      </w:r>
      <w:r>
        <w:rPr>
          <w:lang w:val="bg-BG" w:eastAsia="en-US" w:bidi="ar-SA"/>
        </w:rPr>
        <w:t xml:space="preserve">, а </w:t>
      </w:r>
      <w:r>
        <w:rPr>
          <w:rStyle w:val="SourceText"/>
          <w:lang w:val="bg-BG" w:eastAsia="en-US" w:bidi="ar-SA"/>
        </w:rPr>
        <w:t>--allow-root</w:t>
      </w:r>
      <w:r>
        <w:rPr>
          <w:lang w:val="bg-BG" w:eastAsia="en-US" w:bidi="ar-SA"/>
        </w:rPr>
        <w:t xml:space="preserve"> позволява изпълнение с административни права. </w:t>
      </w:r>
      <w:r>
        <w:rPr>
          <w:lang w:val="en-US" w:eastAsia="en-US" w:bidi="ar-SA"/>
        </w:rPr>
        <w:t>[9]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compose.yml </w:t>
      </w:r>
      <w:r>
        <w:rPr>
          <w:b/>
          <w:bCs/>
          <w:sz w:val="32"/>
          <w:szCs w:val="32"/>
          <w:lang w:val="bg-BG"/>
        </w:rPr>
        <w:t>файл</w:t>
      </w:r>
    </w:p>
    <w:p>
      <w:pPr>
        <w:pStyle w:val="Normal"/>
        <w:bidi w:val="0"/>
        <w:spacing w:lineRule="auto" w:line="360"/>
        <w:rPr/>
      </w:pPr>
      <w:r>
        <w:rPr/>
        <w:t xml:space="preserve">Compose </w:t>
      </w:r>
      <w:r>
        <w:rPr>
          <w:lang w:val="bg-BG"/>
        </w:rPr>
        <w:t>файловете са файлове, които позволяват на потребителя</w:t>
      </w:r>
      <w:r>
        <w:rPr>
          <w:lang w:val="en-US"/>
        </w:rPr>
        <w:t xml:space="preserve"> </w:t>
      </w:r>
      <w:r>
        <w:rPr>
          <w:lang w:val="bg-BG"/>
        </w:rPr>
        <w:t>конфигурирането и оркестрирането на няколко контейнера едновременно.</w:t>
      </w:r>
      <w:r>
        <w:rPr>
          <w:lang w:val="en-US"/>
        </w:rPr>
        <w:t xml:space="preserve"> [10] </w:t>
      </w: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 xml:space="preserve">е използван, за да </w:t>
      </w:r>
      <w:r>
        <w:rPr>
          <w:lang w:val="bg-BG"/>
        </w:rPr>
        <w:t xml:space="preserve">се </w:t>
      </w:r>
      <w:r>
        <w:rPr>
          <w:lang w:val="bg-BG"/>
        </w:rPr>
        <w:t xml:space="preserve">гарантира възпроизводимост на средата за изпълнение. </w:t>
      </w:r>
      <w:r>
        <w:rPr>
          <w:lang w:val="bg-BG"/>
        </w:rPr>
        <w:t>Това е така, защото в противен случай всички допълнителни команди, освен името на образът, който искаме да използваме, трябва да бъдат писани по отделно всеки път, когато контейнерът бива създаван.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Както се разбира по разширението на файла, този файл е </w:t>
      </w:r>
      <w:r>
        <w:rPr>
          <w:lang w:val="en-US"/>
        </w:rPr>
        <w:t>Y</w:t>
      </w:r>
      <w:r>
        <w:rPr>
          <w:lang w:val="en-US"/>
        </w:rPr>
        <w:t>AM</w:t>
      </w:r>
      <w:r>
        <w:rPr>
          <w:lang w:val="en-US"/>
        </w:rPr>
        <w:t xml:space="preserve">L </w:t>
      </w:r>
      <w:r>
        <w:rPr>
          <w:lang w:val="bg-BG"/>
        </w:rPr>
        <w:t xml:space="preserve">файл.  YAML е четим от човек език за сериализация на данни, използван за представяне на структурирани данни. </w:t>
      </w:r>
      <w:r>
        <w:rPr>
          <w:lang w:val="en-US"/>
        </w:rPr>
        <w:t>[11]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 xml:space="preserve">изглежда по следния начин: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services: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</w:t>
      </w:r>
      <w:r>
        <w:rPr>
          <w:lang w:val="bg-BG"/>
        </w:rPr>
        <w:t>fastai_and_jupyter: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image: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container_name: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ports: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"8888:8888"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volumes: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../notebooks:/workspace/notebooks  # Notebooks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../data:/workspace/data    # Used for datasets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deploy: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resources: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</w:t>
      </w:r>
      <w:r>
        <w:rPr>
          <w:lang w:val="bg-BG"/>
        </w:rPr>
        <w:t>reservations: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</w:t>
      </w:r>
      <w:r>
        <w:rPr>
          <w:lang w:val="bg-BG"/>
        </w:rPr>
        <w:t>devices: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  </w:t>
      </w:r>
      <w:r>
        <w:rPr>
          <w:lang w:val="bg-BG"/>
        </w:rPr>
        <w:t>- capabilities: [gpu]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stdin_open: true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tty: true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services представлява набор от конфигурации за контейнерни услуги, като всяка услуга дефинира начин за създаване на един или повече контейнери. </w:t>
      </w:r>
      <w:r>
        <w:rPr>
          <w:lang w:val="en-US"/>
        </w:rPr>
        <w:t xml:space="preserve">[12] </w:t>
      </w:r>
      <w:r>
        <w:rPr>
          <w:lang w:val="bg-BG"/>
        </w:rPr>
        <w:t>Това е задължителен елемент, без който, не можем да опишем останалата част от файла.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>Елемента fastai_and_jupyter е създаден от потребителя, това е името на услугата.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image </w:t>
      </w:r>
      <w:r>
        <w:rPr>
          <w:lang w:val="bg-BG"/>
        </w:rPr>
        <w:t xml:space="preserve">указва кой образ ще бъде използван за създаване на услугата. </w:t>
      </w:r>
      <w:r>
        <w:rPr>
          <w:lang w:val="en-US"/>
        </w:rPr>
        <w:t xml:space="preserve">[12] </w:t>
      </w:r>
      <w:r>
        <w:rPr>
          <w:lang w:val="bg-BG"/>
        </w:rPr>
        <w:t xml:space="preserve">В този случай се използва </w:t>
      </w:r>
      <w:r>
        <w:rPr>
          <w:lang w:val="bg-BG"/>
        </w:rPr>
        <w:t xml:space="preserve">fastai-jupyter-lab, </w:t>
      </w:r>
      <w:r>
        <w:rPr>
          <w:lang w:val="bg-BG"/>
        </w:rPr>
        <w:t>като това е името на образът, който бе създаден преди това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container_name </w:t>
      </w:r>
      <w:r>
        <w:rPr>
          <w:lang w:val="bg-BG"/>
        </w:rPr>
        <w:t xml:space="preserve">задава името на контейнера. </w:t>
      </w:r>
      <w:r>
        <w:rPr>
          <w:lang w:val="en-US"/>
        </w:rPr>
        <w:t xml:space="preserve">[12] </w:t>
      </w:r>
      <w:r>
        <w:rPr>
          <w:lang w:val="bg-BG"/>
        </w:rPr>
        <w:t xml:space="preserve">Тук контейнера е същият като образа – </w:t>
      </w:r>
      <w:r>
        <w:rPr>
          <w:lang w:val="bg-BG"/>
        </w:rPr>
        <w:t>fastai-jupyter-lab.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ports </w:t>
      </w:r>
      <w:r>
        <w:rPr>
          <w:lang w:val="bg-BG"/>
        </w:rPr>
        <w:t xml:space="preserve">се използва за дефиниране на връзката между портовете на машината и портовете на контейнера. </w:t>
      </w:r>
      <w:r>
        <w:rPr>
          <w:lang w:val="en-US"/>
        </w:rPr>
        <w:t xml:space="preserve">[12] </w:t>
      </w:r>
      <w:r>
        <w:rPr>
          <w:lang w:val="bg-BG"/>
        </w:rPr>
        <w:t>Първо се задава порта на машината, а след това на кой порт от контейнера да отговаря. В този случай порта 8888 на машината ще отговаря на порта 8888 на контейнера.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volumes се използват за свързване (mount) на директории от хост системата към файловата система на контейнера, което позволява споделяне и запазване на данни между тях. </w:t>
      </w:r>
      <w:r>
        <w:rPr>
          <w:lang w:val="en-US"/>
        </w:rPr>
        <w:t xml:space="preserve">[12] </w:t>
      </w:r>
      <w:r>
        <w:rPr>
          <w:lang w:val="bg-BG"/>
        </w:rPr>
        <w:t xml:space="preserve">В конкретния случай, можем да видим че се свързват 2 директории – директорията </w:t>
      </w:r>
      <w:r>
        <w:rPr>
          <w:lang w:val="bg-BG"/>
        </w:rPr>
        <w:t xml:space="preserve">../notebooks </w:t>
      </w:r>
      <w:r>
        <w:rPr>
          <w:lang w:val="bg-BG"/>
        </w:rPr>
        <w:t xml:space="preserve">на хост машината с директорията </w:t>
      </w:r>
      <w:r>
        <w:rPr>
          <w:lang w:val="bg-BG"/>
        </w:rPr>
        <w:t xml:space="preserve">/workspace/notebooks </w:t>
      </w:r>
      <w:r>
        <w:rPr>
          <w:lang w:val="bg-BG"/>
        </w:rPr>
        <w:t xml:space="preserve">на контейнера, и  директорията </w:t>
      </w:r>
      <w:r>
        <w:rPr>
          <w:lang w:val="bg-BG"/>
        </w:rPr>
        <w:t xml:space="preserve">../data </w:t>
      </w:r>
      <w:r>
        <w:rPr>
          <w:lang w:val="bg-BG"/>
        </w:rPr>
        <w:t xml:space="preserve">на хост машината с директорията </w:t>
      </w:r>
      <w:r>
        <w:rPr>
          <w:lang w:val="bg-BG"/>
        </w:rPr>
        <w:t xml:space="preserve">/workspace/data </w:t>
      </w:r>
      <w:r>
        <w:rPr>
          <w:lang w:val="bg-BG"/>
        </w:rPr>
        <w:t>на контейнера.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deploy </w:t>
      </w:r>
      <w:r>
        <w:rPr>
          <w:lang w:val="bg-BG"/>
        </w:rPr>
        <w:t xml:space="preserve">определя допълнителна информация за начина, по който ще се изпълнят контейнерите.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resources </w:t>
      </w:r>
      <w:r>
        <w:rPr>
          <w:lang w:val="bg-BG"/>
        </w:rPr>
        <w:t xml:space="preserve">определя ограниченията на физическите ресурси.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reservations </w:t>
      </w:r>
      <w:r>
        <w:rPr>
          <w:lang w:val="bg-BG"/>
        </w:rPr>
        <w:t>у</w:t>
      </w:r>
      <w:r>
        <w:rPr>
          <w:lang w:val="bg-BG"/>
        </w:rPr>
        <w:t xml:space="preserve">казва на системата, че последваните дефинирани ресурси трябва да бъдат предоставени на контейнера, ако това не е възможно, контейнера няма да бъде създаден.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devices </w:t>
      </w:r>
      <w:r>
        <w:rPr>
          <w:lang w:val="bg-BG"/>
        </w:rPr>
        <w:t xml:space="preserve">резервира определено хардуерно устройство.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bg-BG"/>
        </w:rPr>
        <w:t xml:space="preserve">capabilities </w:t>
      </w:r>
      <w:r>
        <w:rPr>
          <w:lang w:val="bg-BG"/>
        </w:rPr>
        <w:t xml:space="preserve">определя кое устройство точно да бъде резервирано.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Елементите stdin_open и </w:t>
      </w:r>
      <w:r>
        <w:rPr>
          <w:lang w:val="en-US"/>
        </w:rPr>
        <w:t xml:space="preserve">tty </w:t>
      </w:r>
      <w:r>
        <w:rPr>
          <w:lang w:val="bg-BG"/>
        </w:rPr>
        <w:t xml:space="preserve">заедно служат за създаване на терминал с цел интерактивна сесия. </w:t>
      </w:r>
      <w:r>
        <w:rPr>
          <w:lang w:val="en-US"/>
        </w:rPr>
        <w:t>[14]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bg-BG" w:eastAsia="en-US" w:bidi="ar-SA"/>
        </w:rPr>
        <w:t>Отдалечен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bg-BG" w:eastAsia="en-US" w:bidi="ar-SA"/>
        </w:rPr>
        <w:t>достъп</w:t>
      </w:r>
    </w:p>
    <w:p>
      <w:pPr>
        <w:pStyle w:val="Normal"/>
        <w:bidi w:val="0"/>
        <w:spacing w:lineRule="auto" w:line="360"/>
        <w:ind w:hanging="0" w:left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6" w:name="__RefHeading___Toc5688_4158184810"/>
      <w:bookmarkEnd w:id="16"/>
      <w:r>
        <w:rPr>
          <w:b/>
          <w:bCs/>
          <w:sz w:val="32"/>
          <w:szCs w:val="32"/>
          <w:lang w:val="bg-BG" w:eastAsia="en-US" w:bidi="ar-SA"/>
        </w:rPr>
        <w:t>Създаване и обучение на модела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7" w:name="__RefHeading___Toc967_4158184810"/>
      <w:bookmarkEnd w:id="17"/>
      <w:r>
        <w:rPr>
          <w:b/>
          <w:bCs/>
          <w:sz w:val="32"/>
          <w:szCs w:val="32"/>
          <w:lang w:val="bg-BG" w:eastAsia="en-US" w:bidi="ar-SA"/>
        </w:rPr>
        <w:t>Предварителна обработка на данните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8" w:name="__RefHeading___Toc5690_4158184810"/>
      <w:bookmarkEnd w:id="18"/>
      <w:r>
        <w:rPr>
          <w:b/>
          <w:bCs/>
          <w:sz w:val="32"/>
          <w:szCs w:val="32"/>
          <w:lang w:val="bg-BG" w:eastAsia="en-US" w:bidi="ar-SA"/>
        </w:rPr>
        <w:t>Избор на модел за машинно обучение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9" w:name="__RefHeading___Toc5692_4158184810"/>
      <w:bookmarkEnd w:id="19"/>
      <w:r>
        <w:rPr>
          <w:b/>
          <w:bCs/>
          <w:sz w:val="32"/>
          <w:szCs w:val="32"/>
          <w:lang w:val="bg-BG" w:eastAsia="en-US" w:bidi="ar-SA"/>
        </w:rPr>
        <w:t>Методология на обучението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20" w:name="__RefHeading___Toc10518_4158184810"/>
      <w:bookmarkEnd w:id="20"/>
      <w:r>
        <w:rPr>
          <w:b/>
          <w:bCs/>
          <w:sz w:val="32"/>
          <w:szCs w:val="32"/>
          <w:lang w:val="bg-BG" w:eastAsia="en-US" w:bidi="ar-SA"/>
        </w:rPr>
        <w:t xml:space="preserve">Сравнение между </w:t>
      </w:r>
      <w:r>
        <w:rPr>
          <w:b/>
          <w:bCs/>
          <w:sz w:val="32"/>
          <w:szCs w:val="32"/>
          <w:lang w:val="en-US" w:eastAsia="en-US" w:bidi="ar-SA"/>
        </w:rPr>
        <w:t xml:space="preserve">CNN </w:t>
      </w:r>
      <w:r>
        <w:rPr>
          <w:b/>
          <w:bCs/>
          <w:sz w:val="32"/>
          <w:szCs w:val="32"/>
          <w:lang w:val="bg-BG" w:eastAsia="en-US" w:bidi="ar-SA"/>
        </w:rPr>
        <w:t xml:space="preserve">и </w:t>
      </w:r>
      <w:r>
        <w:rPr>
          <w:b/>
          <w:bCs/>
          <w:sz w:val="32"/>
          <w:szCs w:val="32"/>
          <w:lang w:val="en-US" w:eastAsia="en-US" w:bidi="ar-SA"/>
        </w:rPr>
        <w:t xml:space="preserve">Transformer </w:t>
      </w:r>
      <w:r>
        <w:rPr>
          <w:b/>
          <w:bCs/>
          <w:sz w:val="32"/>
          <w:szCs w:val="32"/>
          <w:lang w:val="bg-BG" w:eastAsia="en-US" w:bidi="ar-SA"/>
        </w:rPr>
        <w:t>модел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21" w:name="__RefHeading___Toc10520_4158184810"/>
      <w:bookmarkEnd w:id="21"/>
      <w:r>
        <w:rPr>
          <w:b/>
          <w:bCs/>
          <w:sz w:val="32"/>
          <w:szCs w:val="32"/>
          <w:lang w:val="bg-BG" w:eastAsia="en-US" w:bidi="ar-SA"/>
        </w:rPr>
        <w:t>Резултати при различна продължителност на записите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2" w:name="__RefHeading___Toc5694_4158184810"/>
      <w:bookmarkEnd w:id="22"/>
      <w:r>
        <w:rPr>
          <w:b/>
          <w:bCs/>
          <w:sz w:val="32"/>
          <w:szCs w:val="32"/>
          <w:lang w:val="bg-BG" w:eastAsia="en-US" w:bidi="ar-SA"/>
        </w:rPr>
        <w:t>Основни резултати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3" w:name="__RefHeading___Toc5696_4158184810"/>
      <w:bookmarkEnd w:id="23"/>
      <w:r>
        <w:rPr>
          <w:b/>
          <w:bCs/>
          <w:sz w:val="32"/>
          <w:szCs w:val="32"/>
          <w:lang w:val="bg-BG" w:eastAsia="en-US" w:bidi="ar-SA"/>
        </w:rPr>
        <w:t>Изводи и препоръки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4" w:name="__RefHeading___Toc2749_4158184810"/>
      <w:bookmarkEnd w:id="24"/>
      <w:r>
        <w:rPr>
          <w:b/>
          <w:bCs/>
          <w:sz w:val="32"/>
          <w:szCs w:val="32"/>
          <w:lang w:val="bg-BG" w:eastAsia="en-US" w:bidi="ar-SA"/>
        </w:rPr>
        <w:t>Използвана литература</w:t>
      </w:r>
    </w:p>
    <w:p>
      <w:pPr>
        <w:pStyle w:val="Normal"/>
        <w:bidi w:val="0"/>
        <w:rPr>
          <w:lang w:val="en-US" w:eastAsia="en-US" w:bidi="ar-SA"/>
        </w:rPr>
      </w:pPr>
      <w:r>
        <w:rPr>
          <w:lang w:val="en-US" w:eastAsia="en-US" w:bidi="ar-SA"/>
        </w:rPr>
        <w:t xml:space="preserve">5. </w:t>
      </w:r>
      <w:r>
        <w:rPr>
          <w:lang w:val="bg-BG" w:eastAsia="en-US" w:bidi="ar-SA"/>
        </w:rPr>
        <w:t>Описание на експеримент и хардуер за събиране на данните</w:t>
      </w:r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[1] </w:t>
      </w:r>
      <w:hyperlink r:id="rId2">
        <w:r>
          <w:rPr>
            <w:rStyle w:val="Hyperlink"/>
            <w:lang w:val="en-US" w:eastAsia="en-US" w:bidi="ar-SA"/>
          </w:rPr>
          <w:t>https://lego.bravostore.bg/products/lego-creator-31134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[2] </w:t>
      </w:r>
      <w:hyperlink r:id="rId3">
        <w:r>
          <w:rPr>
            <w:rStyle w:val="Hyperlink"/>
            <w:lang w:val="en-US" w:eastAsia="en-US" w:bidi="ar-SA"/>
          </w:rPr>
          <w:t>https://pupil-labs.com/products/neon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 xml:space="preserve">7. Архитектура на системата и отдалечен достъп </w:t>
      </w:r>
    </w:p>
    <w:p>
      <w:pPr>
        <w:pStyle w:val="Normal"/>
        <w:rPr/>
      </w:pPr>
      <w:r>
        <w:rPr/>
        <w:t xml:space="preserve">[1] </w:t>
      </w:r>
      <w:hyperlink r:id="rId4">
        <w:r>
          <w:rPr>
            <w:rStyle w:val="Hyperlink"/>
          </w:rPr>
          <w:t>https://docs.docker.com/get-started/docker-overview/</w:t>
        </w:r>
      </w:hyperlink>
    </w:p>
    <w:p>
      <w:pPr>
        <w:pStyle w:val="Normal"/>
        <w:rPr/>
      </w:pPr>
      <w:r>
        <w:rPr/>
        <w:t xml:space="preserve">[2] </w:t>
      </w:r>
      <w:hyperlink r:id="rId5">
        <w:r>
          <w:rPr>
            <w:rStyle w:val="Hyperlink"/>
          </w:rPr>
          <w:t>https://docs.docker.com/reference/dockerfile/</w:t>
        </w:r>
      </w:hyperlink>
    </w:p>
    <w:p>
      <w:pPr>
        <w:pStyle w:val="BodyText"/>
        <w:rPr/>
      </w:pPr>
      <w:r>
        <w:rPr/>
        <w:t xml:space="preserve">[3] </w:t>
      </w:r>
      <w:hyperlink r:id="rId6">
        <w:r>
          <w:rPr>
            <w:rStyle w:val="Hyperlink"/>
          </w:rPr>
          <w:t>https://www.gnu.org/software/bash/manual/html_node/Lists.html</w:t>
        </w:r>
      </w:hyperlink>
    </w:p>
    <w:p>
      <w:pPr>
        <w:pStyle w:val="Normal"/>
        <w:rPr/>
      </w:pPr>
      <w:r>
        <w:rPr/>
        <w:t xml:space="preserve">[4] </w:t>
      </w:r>
      <w:hyperlink r:id="rId7">
        <w:r>
          <w:rPr>
            <w:rStyle w:val="Hyperlink"/>
          </w:rPr>
          <w:t>https://people.debian.org/~jak/apt-doc/man/apt-get.8.html</w:t>
        </w:r>
      </w:hyperlink>
    </w:p>
    <w:p>
      <w:pPr>
        <w:pStyle w:val="Normal"/>
        <w:rPr/>
      </w:pPr>
      <w:r>
        <w:rPr/>
        <w:t xml:space="preserve">[5] </w:t>
      </w:r>
      <w:r>
        <w:rPr>
          <w:rStyle w:val="Hyperlink"/>
        </w:rPr>
        <w:t>https://www.ibm.com/docs/en/aix/7.1.0?topic=r-rm-command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[6] </w:t>
      </w:r>
      <w:r>
        <w:fldChar w:fldCharType="begin"/>
      </w:r>
      <w:r>
        <w:rPr>
          <w:rStyle w:val="Hyperlink"/>
          <w:lang w:val="en-US"/>
        </w:rPr>
        <w:instrText xml:space="preserve"> HYPERLINK "https://packaging.python.org/en/latest/key_projects/" \l "pip"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https://packaging.python.org/en/latest/key_projects/#pip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[7] </w:t>
      </w:r>
      <w:r>
        <w:fldChar w:fldCharType="begin"/>
      </w:r>
      <w:r>
        <w:rPr>
          <w:rStyle w:val="Hyperlink"/>
          <w:lang w:val="en-US"/>
        </w:rPr>
        <w:instrText xml:space="preserve"> HYPERLINK "https://pip.pypa.io/en/stable/cli/pip_install/" \l "pip-install"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https://pip.pypa.io/en/stable/cli/pip_install/#pip-install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[8] </w:t>
      </w:r>
      <w:hyperlink r:id="rId8">
        <w:r>
          <w:rPr>
            <w:rStyle w:val="Hyperlink"/>
            <w:lang w:val="en-US"/>
          </w:rPr>
          <w:t>https://pip.pypa.io/en/stable/topics/caching/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[9] </w:t>
      </w:r>
      <w:r>
        <w:fldChar w:fldCharType="begin"/>
      </w:r>
      <w:r>
        <w:rPr>
          <w:rStyle w:val="Hyperlink"/>
          <w:lang w:val="en-US"/>
        </w:rPr>
        <w:instrText xml:space="preserve"> HYPERLINK "https://jupyter-server.readthedocs.io/en/latest/other/full-config.html" \l "options"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https://jupyter-server.readthedocs.io/en/latest/other/full-config.html#options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[10] </w:t>
      </w:r>
      <w:hyperlink r:id="rId9">
        <w:r>
          <w:rPr>
            <w:rStyle w:val="Hyperlink"/>
            <w:lang w:val="en-US"/>
          </w:rPr>
          <w:t>https://docs.docker.com/compose/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[11] </w:t>
      </w:r>
      <w:r>
        <w:fldChar w:fldCharType="begin"/>
      </w:r>
      <w:r>
        <w:rPr>
          <w:rStyle w:val="Hyperlink"/>
          <w:lang w:val="en-US"/>
        </w:rPr>
        <w:instrText xml:space="preserve"> HYPERLINK "https://yaml.org/spec/1.2.2/" \l "chapter-1-introduction-to-yaml"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https://yaml.org/spec/1.2.2/#chapter-1-introduction-to-yaml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[12] </w:t>
      </w:r>
      <w:hyperlink r:id="rId10">
        <w:r>
          <w:rPr>
            <w:rStyle w:val="Hyperlink"/>
            <w:lang w:val="en-US"/>
          </w:rPr>
          <w:t>https://docs.docker.com/reference/compose-file/services/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[13] </w:t>
      </w:r>
      <w:hyperlink r:id="rId11">
        <w:r>
          <w:rPr>
            <w:rStyle w:val="Hyperlink"/>
            <w:lang w:val="en-US"/>
          </w:rPr>
          <w:t>https://docs.docker.com/reference/compose-file/deploy/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[14] </w:t>
      </w:r>
      <w:r>
        <w:fldChar w:fldCharType="begin"/>
      </w:r>
      <w:r>
        <w:rPr>
          <w:rStyle w:val="Hyperlink"/>
          <w:lang w:val="en-US"/>
        </w:rPr>
        <w:instrText xml:space="preserve"> HYPERLINK "https://docs.docker.com/reference/cli/docker/container/run/" \l "interactive"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https://docs.docker.com/reference/cli/docker/container/run/#interactive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5" w:name="__RefHeading___Toc971_4158184810"/>
      <w:bookmarkEnd w:id="25"/>
      <w:r>
        <w:rPr>
          <w:b/>
          <w:bCs/>
          <w:sz w:val="32"/>
          <w:szCs w:val="32"/>
          <w:lang w:val="bg-BG" w:eastAsia="en-US" w:bidi="ar-SA"/>
        </w:rPr>
        <w:t>Приложения</w:t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6"/>
    <w:lvlOverride w:ilvl="0">
      <w:startOverride w:val="1"/>
    </w:lvlOverride>
  </w:num>
  <w:num w:numId="10">
    <w:abstractNumId w:val="7"/>
    <w:lvlOverride w:ilvl="0">
      <w:startOverride w:val="2"/>
    </w:lvlOverride>
  </w:num>
  <w:num w:numId="11">
    <w:abstractNumId w:val="8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ind w:firstLine="567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2"/>
    </w:pPr>
    <w:rPr>
      <w:rFonts w:eastAsia="Aptos" w:cs="Tahom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Tahoma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Tahoma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Tahoma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Tahoma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Tahoma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Tahoma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Tahoma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spacing w:before="0" w:after="80"/>
      <w:contextualSpacing/>
    </w:pPr>
    <w:rPr>
      <w:rFonts w:ascii="Aptos Display" w:hAnsi="Aptos Display" w:eastAsia="Aptos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>
      <w:ind w:firstLine="567"/>
    </w:pPr>
    <w:rPr>
      <w:rFonts w:eastAsia="Aptos" w:cs="Tahoma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2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54" w:leader="dot"/>
      </w:tabs>
      <w:ind w:hanging="0" w:left="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go.bravostore.bg/products/lego-creator-31134" TargetMode="External"/><Relationship Id="rId3" Type="http://schemas.openxmlformats.org/officeDocument/2006/relationships/hyperlink" Target="https://pupil-labs.com/products/neon" TargetMode="External"/><Relationship Id="rId4" Type="http://schemas.openxmlformats.org/officeDocument/2006/relationships/hyperlink" Target="https://docs.docker.com/get-started/docker-overview/" TargetMode="External"/><Relationship Id="rId5" Type="http://schemas.openxmlformats.org/officeDocument/2006/relationships/hyperlink" Target="https://docs.docker.com/reference/dockerfile/" TargetMode="External"/><Relationship Id="rId6" Type="http://schemas.openxmlformats.org/officeDocument/2006/relationships/hyperlink" Target="https://www.gnu.org/software/bash/manual/html_node/Lists.html?utm_source=chatgpt.com" TargetMode="External"/><Relationship Id="rId7" Type="http://schemas.openxmlformats.org/officeDocument/2006/relationships/hyperlink" Target="https://people.debian.org/~jak/apt-doc/man/apt-get.8.html" TargetMode="External"/><Relationship Id="rId8" Type="http://schemas.openxmlformats.org/officeDocument/2006/relationships/hyperlink" Target="https://pip.pypa.io/en/stable/topics/caching/" TargetMode="External"/><Relationship Id="rId9" Type="http://schemas.openxmlformats.org/officeDocument/2006/relationships/hyperlink" Target="https://docs.docker.com/compose/" TargetMode="External"/><Relationship Id="rId10" Type="http://schemas.openxmlformats.org/officeDocument/2006/relationships/hyperlink" Target="https://docs.docker.com/reference/compose-file/services/" TargetMode="External"/><Relationship Id="rId11" Type="http://schemas.openxmlformats.org/officeDocument/2006/relationships/hyperlink" Target="https://docs.docker.com/reference/compose-file/deploy/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Application>LibreOffice/26.2.4.2$Windows_X86_64 LibreOffice_project/0229ac93fcf0d7cbc6376066c6f35021cef002dc</Application>
  <AppVersion>15.0000</AppVersion>
  <Pages>25</Pages>
  <Words>2288</Words>
  <Characters>14644</Characters>
  <CharactersWithSpaces>17357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2026-06-14T11:27:26Z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